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7F6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2"/>
          <w:szCs w:val="32"/>
        </w:rPr>
      </w:pPr>
      <w:bookmarkStart w:id="0" w:name="_GoBack"/>
      <w:r>
        <w:rPr>
          <w:rStyle w:val="5"/>
          <w:rFonts w:hint="eastAsia" w:ascii="宋体" w:hAnsi="宋体" w:eastAsia="宋体" w:cs="宋体"/>
          <w:i w:val="0"/>
          <w:iCs w:val="0"/>
          <w:caps w:val="0"/>
          <w:color w:val="000000"/>
          <w:spacing w:val="0"/>
          <w:sz w:val="32"/>
          <w:szCs w:val="32"/>
          <w:shd w:val="clear" w:fill="FEFEFE"/>
        </w:rPr>
        <w:t>2026年度决策咨询研究政府法治专项课题指南</w:t>
      </w:r>
    </w:p>
    <w:bookmarkEnd w:id="0"/>
    <w:p w14:paraId="246ECB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07333C9B">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一、上海民族团结进步促进立法研究</w:t>
      </w:r>
    </w:p>
    <w:p w14:paraId="345A3B3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上海历来是各民族交融汇聚之地，深化促进民族团结进步工作，对于铸牢中华民族共同体意识，推动新时代上海民族工作高质量发展具有重要意义。开展民族团结进步促进立法，是深入贯彻落实习近平总书记关于加强和改进民族工作的重要思想的重要举措，是市委明确的重点任务，有助于健全铸牢中华民族共同体意识制度机制，在法治轨道上推进民族事务治理体系和治理能力现代化。</w:t>
      </w:r>
    </w:p>
    <w:p w14:paraId="28471AD8">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为实务性研究课题，要求对照国家《民族团结进步促进法》草案，对《上海市少数民族权益保障条例》《上海市清真食品管理条例》中涉及的政策制度进行全面评估，分析其与上位法精神的契合度、制度的可操作性及实施效果，提出保留、整合、停止执行等具体处理建议。对外省市民族团结进步相关法规规章进行系统梳理，提炼可供借鉴的立法思路与制度设计。结合上海作为超大型城市的特点，通过深入调研，对本市促进民族团结进步工作行之有效的做法、存在的问题进行总结归纳，对新形势下如何深化上海促进民族团结进步工作进行分析，并提出符合上海实际、具有地方特色的具体对策建议。在上述工作基础上，明确本市立法的总体思路、基本框架和关键制度设计，形成立法调研论证报告和立法建议稿。</w:t>
      </w:r>
    </w:p>
    <w:p w14:paraId="5C43AC47">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二、上海优化科技成果转化全链条制度法治保障研究</w:t>
      </w:r>
    </w:p>
    <w:p w14:paraId="6A2E601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党的二十届三中全会明确提出，深化科技成果转化机制改革，加强国家技术转移体系建设。习近平总书记考察上海，明确要求抢抓机遇，以服务国家战略为牵引，加快建设国际科技创新中心。十二届市委七次全会提出，要推动科技创新和产业创新深度融合，推动科技成果高效转化，并要求修改我市科技成果转化条例。为此，需对科技成果转化全链条制度进行系统性检视与法治保障优化研究。</w:t>
      </w:r>
    </w:p>
    <w:p w14:paraId="306FE59D">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为实务性研究课题，要求立足上海建设国际科技创新中心的实践，系统性检视当前科技成果转化全链条制度，梳理比较国内外相关立法与制度创新，识别关键堵点和薄弱环节，通过体制机制创新，从地方立法与制度供给层面，研究提出具有前瞻性、可操作性的转化模式、路径与举措优化建议，从而提升科技成果转化效能，促进创新链与产业链无缝对接，加快形成高效协同的科技成果转化新格局。</w:t>
      </w:r>
    </w:p>
    <w:p w14:paraId="0734D4E6">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三、上海离岸金融监管制度创新与完善研究</w:t>
      </w:r>
    </w:p>
    <w:p w14:paraId="0774098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离岸金融业务是上海国际金融中心提升全球资源配置能力的核心功能板块，而行之有效的监管则是离岸金融行稳致远、防范系统性风险的制度基石。上海在加快国际金融中心建设的进程中如何持续强化监管能力建设，确保国家金融安全与开放大局，是当下极具现实紧迫感的重大课题。</w:t>
      </w:r>
    </w:p>
    <w:p w14:paraId="1D28403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为实务性研究课题，要求立足上海国际金融中心建设需求，以浦东新区法规为制度试验田，聚焦离岸金融监管制度的创新设计与优化，通过梳理国内外离岸金融监管规则，识别上海离岸金融市场发展中的前沿性、机制性难题，构建匹配全球卓越国际金融中心地位、兼具国际竞争力与影响力的动态平衡监管框架，助力上海国际金融中心能级全面提升。</w:t>
      </w:r>
    </w:p>
    <w:p w14:paraId="2B9B36B0">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四、网络平台法律规制研究</w:t>
      </w:r>
    </w:p>
    <w:p w14:paraId="277593D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当前网络平台已深度介入民生领域，其治理规则的优劣将直接影响超大城市运行安全、市场主体公平竞争和城市居民民生安全。以网约车为例，“十五五”时期，上海把“出行即服务”（MaaS）纳入国际综合交通中心升级版，出行平台因高频交易、海量数据、混合业态和新老利益交织，成为观察平台治理成效的标志性场景。本课题由此切入，聚焦网约车平台治理中的关键环节和主要问题，从法律角度系统梳理服务质量、价格机制、平台责任、司机权益、新老业态冲突等痛点，提出可操作的法律对策，为出租汽车行业健康有序发展提供即时可用的法治保障，并为后续地方立法和执法裁量基准提供直接依据。</w:t>
      </w:r>
    </w:p>
    <w:p w14:paraId="2FCB253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为实务性研究课题，要求立足上海实际，对照《中华人民共和国电子商务法》等法律法规，系统梳理网约车平台等网络平台在准入退出、价格行为、数据报送、从业人员权益保障等方面的制度空白和执法盲区。重点分析平台责任边界、新老业态公平竞争等问题，提出与上海超大城市治理相适应的监管规则完善建议，形成可向立法、执法、行业管理环节直接转化的制度成果，为规范平台经济秩序、保障市民出行安全提供法治支撑。</w:t>
      </w:r>
    </w:p>
    <w:p w14:paraId="5ADEAE29">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五、国际船舶登记浦东新区法规立法研究</w:t>
      </w:r>
    </w:p>
    <w:p w14:paraId="2022F5A9">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用好浦东新区法规立法授权，在地方事权范围内率先破除“方便旗船”回归的税负和程序壁垒，打造与新加坡、中国香港同梯度的“中国洋山港”国际船籍港。通过立法明确进口、建造、检验、登记、运营、船员管理全链条便利化措施，并同步设计税务、金融、人才配套，带动船舶检验、经纪、保险、融资等高端海事服务业集聚，为提升航运资源全球配置能力、加快建设全球领先国际航运中心提供即时可操作的法治保障是当前上海建设国际航运中心的一项重要任务。</w:t>
      </w:r>
    </w:p>
    <w:p w14:paraId="27ABCFEA">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为实务性研究课题，要求立足上海实际，在浦东新区法规授权范围内，对标国际船籍港制度，系统梳理“中国洋山港”籍船舶在进口、登记、检验、运营、船员管理、融资服务等环节的制度供给需求。提出与全球航运资源配置需求相匹配、可在浦东率先落地的制度框架，并形成具有可操作性的立法建议稿，为提升航运资源全球配置能力、加快建设全球领先国际航运中心提供直接可用的法治保障。</w:t>
      </w:r>
    </w:p>
    <w:p w14:paraId="6AD41224">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六、上海完善行政执法监督体制研究</w:t>
      </w:r>
    </w:p>
    <w:p w14:paraId="10E11DC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2023年实施的《上海市行政执法监督办法》建立了“市—区—街镇”三级行政执法监督体系，对于规范行政执法行为、助力上海法治政府建设发挥了积极作用。《行政执法监督条例》已于2025年12月通过，有必要对照条例的规定，对如何修订完善《上海市行政执法监督办法》进行研究，使本市建立的三级行政执法监督体系在条例的框架下，更好地发挥监督作用。</w:t>
      </w:r>
    </w:p>
    <w:p w14:paraId="66C588A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为实务性研究课题，要求对《上海市行政执法监督办法》实施情况进行评估。在对照《行政执法监督条例》规定的基础上，立足上海执法监督工作实际，提出进一步优化完善行政执法监督体制的对策建议，并将《行政执法监督条例》规定的挂牌督办、提级监督、跨部门协同等法定要求，转化为符合上海“超大城市治理”特点的具体制度。</w:t>
      </w:r>
    </w:p>
    <w:p w14:paraId="655A4875">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七、上海构建数据基础设施法治保障研究</w:t>
      </w:r>
    </w:p>
    <w:p w14:paraId="3F53BF1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数据基础设施支撑数据从采集到存储、处理、分析再到应用的全流程，为数字经济的蓬勃发展筑牢坚实基础。不同部门、区域和主体在使用数据基础设施时，极易从权益界定、流通共享、安全风险、监管执行、市场秩序等多维度引发系统性问题，最终可能阻碍数据要素流通与价值释放。因此，有必要研究数据基础设施的法治问题及需求，探索适配其发展的制度保障路径。</w:t>
      </w:r>
    </w:p>
    <w:p w14:paraId="5BF4394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为理论与实务相结合的课题，要求梳理国内外数据基础设施建设的理论研究和实践探索，立足上海实际，分析数据基础设施建设中的法治需求、存在问题和挑战，并针对重点难点问题提出针对性的对策建议，解决数据基础设施使用中的规则缺位与执行难题，为上海打造数字城市、促进数据要素价值释放提供智力支持。</w:t>
      </w:r>
    </w:p>
    <w:p w14:paraId="7A2EFDB7">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八、上海健全国际商事调解机制路径研究</w:t>
      </w:r>
    </w:p>
    <w:p w14:paraId="6531D5C9">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健全国际商事调解机制是贯彻落实党的二十届四中全会要求，践行“东方调解智慧”、推进高水平制度型开放的关键举措，也是提升上海涉外服务能力、打造国际一流营商环境的重要支撑。当前，《商事调解条例》已落地实施，需要围绕涉外商事争议解决需求与商事调解规则对接、上海打造国际国内商事调解优选地的制度路径、提升上海国际商事调解品牌、建设专业化高水平调解员队伍、推进规则国际衔接、“引进来与走出去”等重点内容开展研究。</w:t>
      </w:r>
    </w:p>
    <w:p w14:paraId="31A8E312">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为实务性研究课题，要求梳理国际商事调解新趋势新动态和上海商事调解发展现状，开展国际对标和差距分析，识别上海国际商事调解的优劣势。结合国际调解规则改革趋势，分析上海健全机制的核心需求与制约因素，提出完善立法与政策、提升调解质效等改革建议，助力上海提升国际商事纠纷解决优选地竞争力。</w:t>
      </w:r>
    </w:p>
    <w:p w14:paraId="5763074F">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九、上海构建国际投资争端仲裁机制实践路径研究</w:t>
      </w:r>
    </w:p>
    <w:p w14:paraId="5E038D5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随着中国对外投资规模持续扩大，投资者在东道国面临的政治风险与法律争议日益复杂，亟需增强我国在国际投资治理体系中的参与度和话语权。优化国际投资争端仲裁机制是上海建设亚太仲裁中心、推进高水平制度型开放的重要举措，对增强全球资源配置能力、护航“五个中心”建设具有重要意义。当前，国际投资仲裁改革提速，上海虽已开展临时仲裁试点等创新，但仍面临规则衔接不足、专业人才短缺等挑战。本课题旨在探索健全适配上海城市定位的国际投资仲裁机制的实践路径，为打造面向全球的亚太仲裁中心提供决策参考。</w:t>
      </w:r>
    </w:p>
    <w:p w14:paraId="69E10C2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为实务性研究课题，要求聚焦国际投资仲裁机制改革的前沿趋势，以新修订的《中华人民共和国仲裁法》为契机，系统研究上海国际商事仲裁中心建设已有基础上，探索国际投资仲裁领域的制度规则衔接、机构建设、人才引育、配套服务等方面的可行做法，提升上海仲裁服务能级和水平。要求梳理我国国际投资仲裁实践现状、临时仲裁试点经验及与国际规则的差距。结合国际投资仲裁改革趋势，分析上海探索构建国际投资仲裁机制面临的新形势与核心需求。从规则衔接和创新、机构和仲裁员队伍引育、配套服务和诉讼仲裁衔接等维度，探索本土化优化路径，提出可落地的对策措施。</w:t>
      </w:r>
    </w:p>
    <w:p w14:paraId="68C0A34E">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十、上海非现场监管立法研究</w:t>
      </w:r>
    </w:p>
    <w:p w14:paraId="75DFA850">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与要求：为适应数字政府建设与监管方式创新的需要，解决当前非现场监管面临的法律依据不充分、制度基础不牢固等问题，需从立法层面进行系统研究与设计。通过立法，明确非现场监管的法律地位、适用范围、程序规范和权利义务，为全面推广与规范运用非现场监管执法方式提供坚实的法治保障，从而提升监管效能，优化营商环境。</w:t>
      </w:r>
    </w:p>
    <w:p w14:paraId="044B6C7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为实务性研究课题，要求立足上海智慧城市与数字政府建设的监管实践需求，系统梳理非现场监管的应用现状、制度瓶颈与法律争议，深入分析非现场监管与传统监管模式衔接、行政程序正当性保障、数据合规利用等方面的深层矛盾与成因。结合国内外立法趋势与前沿实践，提出具有针对性、系统性且具备可操作性的地方立法框架与关键制度设计，为上海创新监管范式、提升执法效能、平衡监管效率与权益保障提供坚实的法治解决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F18C3"/>
    <w:rsid w:val="189E12ED"/>
    <w:rsid w:val="433D3FCA"/>
    <w:rsid w:val="48D25DE7"/>
    <w:rsid w:val="55DF0FA9"/>
    <w:rsid w:val="F6FF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4041</Words>
  <Characters>4055</Characters>
  <Lines>0</Lines>
  <Paragraphs>0</Paragraphs>
  <TotalTime>8</TotalTime>
  <ScaleCrop>false</ScaleCrop>
  <LinksUpToDate>false</LinksUpToDate>
  <CharactersWithSpaces>4055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2026-02-23T17:14:00Z</dcterms:created>
  <dc:creator>yc</dc:creator>
  <cp:lastModifiedBy>yc</cp:lastModifiedBy>
  <dcterms:modified xsi:type="dcterms:W3CDTF">2026-03-18T06:47:52Z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52B8C44B97325ECE621A9C6990EB6267_41</vt:lpwstr>
  </property>
  <property fmtid="{D5CDD505-2E9C-101B-9397-08002B2CF9AE}" pid="4" name="KSOTemplateDocerSaveRecord">
    <vt:lpwstr>eyJoZGlkIjoiMjEyM2Q4NDM3NjdhOWExMmM3MGVmYWNhMDY5YThkOGIiLCJ1c2VySWQiOiIxMzQzOTE4OTI3In0=</vt:lpwstr>
  </property>
</Properties>
</file>