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3090F4">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textAlignment w:val="auto"/>
        <w:rPr>
          <w:rFonts w:hint="eastAsia" w:eastAsia="宋体"/>
          <w:sz w:val="36"/>
          <w:szCs w:val="36"/>
          <w:lang w:val="en-US" w:eastAsia="zh-CN"/>
        </w:rPr>
      </w:pPr>
      <w:r>
        <w:rPr>
          <w:sz w:val="36"/>
          <w:szCs w:val="36"/>
        </w:rPr>
        <w:t>上海对外经贸大学</w:t>
      </w:r>
      <w:r>
        <w:rPr>
          <w:rFonts w:hint="eastAsia"/>
          <w:sz w:val="36"/>
          <w:szCs w:val="36"/>
          <w:lang w:val="en-US" w:eastAsia="zh-CN"/>
        </w:rPr>
        <w:t>新宿舍大楼</w:t>
      </w:r>
      <w:r>
        <w:rPr>
          <w:sz w:val="36"/>
          <w:szCs w:val="36"/>
        </w:rPr>
        <w:t>健身</w:t>
      </w:r>
      <w:r>
        <w:rPr>
          <w:rFonts w:hint="eastAsia"/>
          <w:sz w:val="36"/>
          <w:szCs w:val="36"/>
          <w:lang w:val="en-US" w:eastAsia="zh-CN"/>
        </w:rPr>
        <w:t>器材</w:t>
      </w:r>
      <w:r>
        <w:rPr>
          <w:sz w:val="36"/>
          <w:szCs w:val="36"/>
        </w:rPr>
        <w:t>采购</w:t>
      </w:r>
      <w:r>
        <w:rPr>
          <w:rFonts w:hint="eastAsia"/>
          <w:sz w:val="36"/>
          <w:szCs w:val="36"/>
          <w:lang w:val="en-US" w:eastAsia="zh-CN"/>
        </w:rPr>
        <w:t>需求</w:t>
      </w:r>
    </w:p>
    <w:p w14:paraId="2A064125">
      <w:pPr>
        <w:spacing w:line="360" w:lineRule="auto"/>
        <w:rPr>
          <w:rFonts w:hint="default" w:ascii="宋体" w:hAnsi="宋体" w:eastAsia="宋体" w:cs="宋体"/>
          <w:color w:val="auto"/>
          <w:sz w:val="24"/>
          <w:lang w:val="en-US" w:eastAsia="zh-CN"/>
        </w:rPr>
      </w:pPr>
      <w:r>
        <w:rPr>
          <w:rFonts w:hint="eastAsia" w:ascii="宋体" w:hAnsi="宋体" w:eastAsia="宋体" w:cs="宋体"/>
          <w:color w:val="auto"/>
          <w:sz w:val="24"/>
        </w:rPr>
        <w:t>项目名称：</w:t>
      </w:r>
      <w:r>
        <w:rPr>
          <w:rFonts w:hint="eastAsia" w:ascii="宋体" w:hAnsi="宋体" w:eastAsia="宋体" w:cs="宋体"/>
          <w:color w:val="auto"/>
          <w:sz w:val="24"/>
          <w:lang w:val="en-US" w:eastAsia="zh-CN"/>
        </w:rPr>
        <w:t>新建宿舍大楼健身房健身器材采购项目</w:t>
      </w:r>
    </w:p>
    <w:p w14:paraId="3AFEA387">
      <w:pPr>
        <w:spacing w:line="360" w:lineRule="auto"/>
        <w:rPr>
          <w:rFonts w:hint="eastAsia" w:ascii="宋体" w:hAnsi="宋体" w:eastAsia="宋体" w:cs="宋体"/>
          <w:color w:val="auto"/>
          <w:sz w:val="24"/>
        </w:rPr>
      </w:pPr>
      <w:r>
        <w:rPr>
          <w:rFonts w:hint="eastAsia" w:ascii="宋体" w:hAnsi="宋体" w:eastAsia="宋体" w:cs="宋体"/>
          <w:color w:val="auto"/>
          <w:sz w:val="24"/>
        </w:rPr>
        <w:t>预算金额：</w:t>
      </w:r>
      <w:r>
        <w:rPr>
          <w:rFonts w:hint="eastAsia" w:ascii="宋体" w:hAnsi="宋体" w:eastAsia="宋体" w:cs="宋体"/>
          <w:color w:val="auto"/>
          <w:sz w:val="24"/>
          <w:lang w:val="en-US" w:eastAsia="zh-CN"/>
        </w:rPr>
        <w:t>6.95</w:t>
      </w:r>
      <w:bookmarkStart w:id="0" w:name="_GoBack"/>
      <w:bookmarkEnd w:id="0"/>
      <w:r>
        <w:rPr>
          <w:rFonts w:hint="eastAsia" w:ascii="宋体" w:hAnsi="宋体" w:eastAsia="宋体" w:cs="宋体"/>
          <w:color w:val="auto"/>
          <w:sz w:val="24"/>
          <w:lang w:val="en-US" w:eastAsia="zh-CN"/>
        </w:rPr>
        <w:t>万</w:t>
      </w:r>
      <w:r>
        <w:rPr>
          <w:rFonts w:hint="eastAsia" w:ascii="宋体" w:hAnsi="宋体" w:eastAsia="宋体" w:cs="宋体"/>
          <w:color w:val="auto"/>
          <w:sz w:val="24"/>
        </w:rPr>
        <w:t>元</w:t>
      </w:r>
    </w:p>
    <w:p w14:paraId="57BAF362">
      <w:pPr>
        <w:spacing w:line="360" w:lineRule="auto"/>
        <w:rPr>
          <w:rFonts w:hint="default" w:ascii="宋体" w:hAnsi="宋体" w:eastAsia="宋体" w:cs="宋体"/>
          <w:sz w:val="24"/>
          <w:highlight w:val="none"/>
          <w:lang w:val="en-US" w:eastAsia="zh-CN"/>
        </w:rPr>
      </w:pPr>
      <w:r>
        <w:rPr>
          <w:rFonts w:hint="eastAsia" w:ascii="宋体" w:hAnsi="宋体" w:eastAsia="宋体" w:cs="宋体"/>
          <w:sz w:val="24"/>
          <w:highlight w:val="none"/>
        </w:rPr>
        <w:t>采购方式：</w:t>
      </w:r>
      <w:r>
        <w:rPr>
          <w:rFonts w:hint="eastAsia" w:ascii="宋体" w:hAnsi="宋体" w:eastAsia="宋体" w:cs="宋体"/>
          <w:sz w:val="24"/>
          <w:highlight w:val="none"/>
          <w:lang w:val="en-US" w:eastAsia="zh-CN"/>
        </w:rPr>
        <w:t>公开比价</w:t>
      </w:r>
    </w:p>
    <w:p w14:paraId="70CC80D8">
      <w:pPr>
        <w:spacing w:line="360" w:lineRule="auto"/>
        <w:rPr>
          <w:rFonts w:hint="eastAsia" w:ascii="宋体" w:hAnsi="宋体" w:eastAsia="宋体" w:cs="宋体"/>
          <w:sz w:val="24"/>
        </w:rPr>
      </w:pPr>
      <w:r>
        <w:rPr>
          <w:rFonts w:hint="eastAsia" w:ascii="宋体" w:hAnsi="宋体" w:eastAsia="宋体" w:cs="宋体"/>
          <w:sz w:val="24"/>
        </w:rPr>
        <w:t xml:space="preserve">                   </w:t>
      </w:r>
    </w:p>
    <w:p w14:paraId="0BF9113F">
      <w:pPr>
        <w:spacing w:line="360" w:lineRule="auto"/>
        <w:rPr>
          <w:rFonts w:hint="eastAsia" w:ascii="宋体" w:hAnsi="宋体" w:eastAsia="宋体" w:cs="宋体"/>
          <w:sz w:val="24"/>
        </w:rPr>
      </w:pPr>
      <w:r>
        <w:rPr>
          <w:rFonts w:hint="eastAsia" w:ascii="宋体" w:hAnsi="宋体" w:eastAsia="宋体" w:cs="宋体"/>
          <w:sz w:val="24"/>
        </w:rPr>
        <w:t>一、合理的投标人资格条件</w:t>
      </w:r>
    </w:p>
    <w:p w14:paraId="45E30AB8">
      <w:pPr>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1.符合《中华人民共和国政府采购法》第二十二条规定的供应商；</w:t>
      </w:r>
    </w:p>
    <w:p w14:paraId="559947D8">
      <w:pPr>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2.投标人必须是在中国境内注册，具有独立企业法人资格；</w:t>
      </w:r>
    </w:p>
    <w:p w14:paraId="32E9F424">
      <w:pPr>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3.投标单位能提供稳定的技术支持与维修服务。</w:t>
      </w:r>
    </w:p>
    <w:p w14:paraId="5C9995BE">
      <w:pPr>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4.本项目面向大、中、小、微型等各类供应商采购；</w:t>
      </w:r>
    </w:p>
    <w:p w14:paraId="52650737">
      <w:pPr>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lang w:val="en-US" w:eastAsia="zh-CN"/>
        </w:rPr>
        <w:t>5.</w:t>
      </w:r>
      <w:r>
        <w:rPr>
          <w:rFonts w:hint="eastAsia" w:ascii="宋体" w:hAnsi="宋体" w:eastAsia="宋体" w:cs="宋体"/>
          <w:sz w:val="24"/>
          <w:highlight w:val="none"/>
        </w:rPr>
        <w:t>未被列入“信用中国”网站(www.creditchina.gov.cn)失信被执行人名单、重大税收违法案件当事人名单和中国政府采购网(www.ccgp.gov.cn)政府采购严重违法失信行为记录名单；</w:t>
      </w:r>
    </w:p>
    <w:p w14:paraId="06917E20">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本项目不接受联合体投标；</w:t>
      </w:r>
    </w:p>
    <w:p w14:paraId="41128069">
      <w:pPr>
        <w:spacing w:line="360" w:lineRule="auto"/>
        <w:ind w:firstLine="408"/>
        <w:rPr>
          <w:sz w:val="24"/>
        </w:rPr>
      </w:pPr>
      <w:r>
        <w:rPr>
          <w:rFonts w:hint="eastAsia"/>
          <w:sz w:val="24"/>
        </w:rPr>
        <w:t>二、采购项目建设方案，需实现的功能或目标</w:t>
      </w:r>
    </w:p>
    <w:p w14:paraId="0FC38D80">
      <w:pPr>
        <w:spacing w:line="360" w:lineRule="auto"/>
        <w:ind w:firstLine="408"/>
        <w:rPr>
          <w:rFonts w:hint="eastAsia" w:eastAsiaTheme="minorEastAsia"/>
          <w:sz w:val="24"/>
          <w:lang w:eastAsia="zh-CN"/>
        </w:rPr>
      </w:pPr>
      <w:r>
        <w:rPr>
          <w:rFonts w:hint="eastAsia"/>
          <w:sz w:val="24"/>
        </w:rPr>
        <w:t>本项目为上海对外经贸大学新建宿舍大楼健身房配套的健身器材采购，旨在为在校师生提供安全、专业、舒适的运动健身环境。健身房定位为兼顾日常锻炼、体能训练及休闲健身的综合型室内运动空间，可同时满足有氧训练、力量训练及拉伸恢复的需求</w:t>
      </w:r>
      <w:r>
        <w:rPr>
          <w:rFonts w:hint="eastAsia"/>
          <w:sz w:val="24"/>
          <w:lang w:eastAsia="zh-CN"/>
        </w:rPr>
        <w:t>。</w:t>
      </w:r>
    </w:p>
    <w:p w14:paraId="45B8324E">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08"/>
        <w:textAlignment w:val="auto"/>
        <w:rPr>
          <w:rFonts w:hint="eastAsia"/>
        </w:rPr>
      </w:pPr>
      <w:r>
        <w:rPr>
          <w:rFonts w:hint="eastAsia"/>
          <w:sz w:val="24"/>
        </w:rPr>
        <w:t>采购项目建设需满足的技术规格、质量、安全、物理特性等要求</w:t>
      </w:r>
      <w:r>
        <w:rPr>
          <w:rFonts w:hint="eastAsia"/>
          <w:sz w:val="24"/>
          <w:lang w:eastAsia="zh-CN"/>
        </w:rPr>
        <w:t>。</w:t>
      </w:r>
    </w:p>
    <w:p w14:paraId="4B2710E1">
      <w:pPr>
        <w:pStyle w:val="3"/>
        <w:rPr>
          <w:rFonts w:hint="eastAsia"/>
          <w:sz w:val="24"/>
          <w:lang w:eastAsia="zh-CN"/>
        </w:rPr>
      </w:pPr>
    </w:p>
    <w:p w14:paraId="667C0AC4">
      <w:pPr>
        <w:rPr>
          <w:rFonts w:hint="eastAsia"/>
          <w:sz w:val="24"/>
          <w:lang w:eastAsia="zh-CN"/>
        </w:rPr>
      </w:pPr>
    </w:p>
    <w:p w14:paraId="5274508D">
      <w:pPr>
        <w:pStyle w:val="3"/>
        <w:rPr>
          <w:rFonts w:hint="eastAsia"/>
          <w:sz w:val="24"/>
          <w:lang w:eastAsia="zh-CN"/>
        </w:rPr>
      </w:pPr>
    </w:p>
    <w:p w14:paraId="7C5C326A">
      <w:pPr>
        <w:rPr>
          <w:rFonts w:hint="eastAsia"/>
          <w:sz w:val="24"/>
          <w:lang w:eastAsia="zh-CN"/>
        </w:rPr>
      </w:pPr>
    </w:p>
    <w:p w14:paraId="33C6798C">
      <w:pPr>
        <w:pStyle w:val="3"/>
        <w:rPr>
          <w:rFonts w:hint="eastAsia"/>
        </w:rPr>
      </w:pPr>
    </w:p>
    <w:tbl>
      <w:tblPr>
        <w:tblStyle w:val="6"/>
        <w:tblW w:w="89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66"/>
        <w:gridCol w:w="838"/>
        <w:gridCol w:w="1849"/>
        <w:gridCol w:w="2670"/>
        <w:gridCol w:w="870"/>
        <w:gridCol w:w="735"/>
        <w:gridCol w:w="1468"/>
      </w:tblGrid>
      <w:tr w14:paraId="58F5E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7"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61E30">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序号</w:t>
            </w: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F48F6">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名称</w:t>
            </w:r>
          </w:p>
        </w:tc>
        <w:tc>
          <w:tcPr>
            <w:tcW w:w="1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3570F">
            <w:pPr>
              <w:keepNext w:val="0"/>
              <w:keepLines w:val="0"/>
              <w:widowControl/>
              <w:suppressLineNumbers w:val="0"/>
              <w:jc w:val="center"/>
              <w:textAlignment w:val="top"/>
              <w:rPr>
                <w:rFonts w:hint="default" w:ascii="宋体" w:hAnsi="宋体" w:eastAsia="宋体" w:cs="宋体"/>
                <w:i w:val="0"/>
                <w:iCs w:val="0"/>
                <w:color w:val="000000"/>
                <w:kern w:val="0"/>
                <w:sz w:val="20"/>
                <w:szCs w:val="20"/>
                <w:u w:val="none"/>
                <w:bdr w:val="single" w:color="000000" w:sz="4" w:space="0"/>
                <w:lang w:val="en-US" w:eastAsia="zh-CN" w:bidi="ar"/>
              </w:rPr>
            </w:pPr>
            <w:r>
              <w:rPr>
                <w:rFonts w:hint="eastAsia" w:ascii="宋体" w:hAnsi="宋体" w:eastAsia="宋体" w:cs="宋体"/>
                <w:i w:val="0"/>
                <w:iCs w:val="0"/>
                <w:color w:val="000000"/>
                <w:kern w:val="0"/>
                <w:sz w:val="20"/>
                <w:szCs w:val="20"/>
                <w:u w:val="none"/>
                <w:lang w:val="en-US" w:eastAsia="zh-CN" w:bidi="ar"/>
              </w:rPr>
              <w:t>参考图片</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3962C">
            <w:pPr>
              <w:keepNext w:val="0"/>
              <w:keepLines w:val="0"/>
              <w:widowControl/>
              <w:suppressLineNumbers w:val="0"/>
              <w:jc w:val="center"/>
              <w:textAlignment w:val="top"/>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参数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2306F">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数量</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B6D7B">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单位</w:t>
            </w:r>
          </w:p>
        </w:tc>
        <w:tc>
          <w:tcPr>
            <w:tcW w:w="1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2EE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备选品牌型号</w:t>
            </w:r>
          </w:p>
        </w:tc>
      </w:tr>
      <w:tr w14:paraId="7CB3C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6"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814B8">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8E9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跑步机</w:t>
            </w:r>
          </w:p>
        </w:tc>
        <w:tc>
          <w:tcPr>
            <w:tcW w:w="1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922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drawing>
                <wp:inline distT="0" distB="0" distL="114300" distR="114300">
                  <wp:extent cx="979170" cy="994410"/>
                  <wp:effectExtent l="0" t="0" r="11430" b="15240"/>
                  <wp:docPr id="19065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525" name="图片 2"/>
                          <pic:cNvPicPr>
                            <a:picLocks noChangeAspect="1"/>
                          </pic:cNvPicPr>
                        </pic:nvPicPr>
                        <pic:blipFill>
                          <a:blip r:embed="rId4"/>
                          <a:stretch>
                            <a:fillRect/>
                          </a:stretch>
                        </pic:blipFill>
                        <pic:spPr>
                          <a:xfrm>
                            <a:off x="0" y="0"/>
                            <a:ext cx="979170" cy="994410"/>
                          </a:xfrm>
                          <a:prstGeom prst="rect">
                            <a:avLst/>
                          </a:prstGeom>
                          <a:noFill/>
                          <a:ln w="9525">
                            <a:noFill/>
                          </a:ln>
                        </pic:spPr>
                      </pic:pic>
                    </a:graphicData>
                  </a:graphic>
                </wp:inline>
              </w:drawing>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top"/>
          </w:tcPr>
          <w:p w14:paraId="512F4709">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 速度范围1.0-20km/h，坡度0-20%；</w:t>
            </w:r>
          </w:p>
          <w:p w14:paraId="4CFC77DF">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 电机功率≥3HP/KW；升降机电压：220V</w:t>
            </w:r>
          </w:p>
          <w:p w14:paraId="2649D62E">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 跑带宽度≥590mm，跑板厚度≥25mm，跑带长度≥3300，滚筒直径≥88mm；</w:t>
            </w:r>
          </w:p>
          <w:p w14:paraId="7DF3D81D">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 最大承重≥200kg，净重≥200kg；</w:t>
            </w:r>
          </w:p>
          <w:p w14:paraId="48D32BB7">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5.显示屏：LED屏幕显示（手扶式心率、速度、心率、卡路里、坡起等）；</w:t>
            </w:r>
          </w:p>
          <w:p w14:paraId="49CC97F8">
            <w:pPr>
              <w:keepNext w:val="0"/>
              <w:keepLines w:val="0"/>
              <w:widowControl/>
              <w:suppressLineNumbers w:val="0"/>
              <w:jc w:val="left"/>
              <w:textAlignment w:val="top"/>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6.跑步机管材：≥3.0MM</w:t>
            </w:r>
          </w:p>
          <w:p w14:paraId="5CADD7D5">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7.主架管材焊接+静电喷涂。</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F2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AD2BB">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AB638">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1、X30豪华商用电动跑步机-LED款</w:t>
            </w:r>
          </w:p>
          <w:p w14:paraId="2549ECAB">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2、X710A</w:t>
            </w:r>
          </w:p>
          <w:p w14:paraId="4F05644D">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3、FX</w:t>
            </w:r>
            <w:r>
              <w:rPr>
                <w:rFonts w:hint="eastAsia" w:ascii="宋体" w:hAnsi="宋体" w:eastAsia="宋体" w:cs="宋体"/>
                <w:i w:val="0"/>
                <w:iCs w:val="0"/>
                <w:color w:val="000000"/>
                <w:kern w:val="0"/>
                <w:sz w:val="20"/>
                <w:szCs w:val="20"/>
                <w:u w:val="none"/>
                <w:lang w:val="en-US" w:eastAsia="zh-CN" w:bidi="ar"/>
              </w:rPr>
              <w:noBreakHyphen/>
            </w:r>
            <w:r>
              <w:rPr>
                <w:rFonts w:hint="eastAsia" w:ascii="宋体" w:hAnsi="宋体" w:eastAsia="宋体" w:cs="宋体"/>
                <w:i w:val="0"/>
                <w:iCs w:val="0"/>
                <w:color w:val="000000"/>
                <w:kern w:val="0"/>
                <w:sz w:val="20"/>
                <w:szCs w:val="20"/>
                <w:u w:val="none"/>
                <w:lang w:val="en-US" w:eastAsia="zh-CN" w:bidi="ar"/>
              </w:rPr>
              <w:t>7905</w:t>
            </w:r>
          </w:p>
        </w:tc>
      </w:tr>
      <w:tr w14:paraId="368C2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4"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E4107">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712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立式健身车</w:t>
            </w:r>
          </w:p>
        </w:tc>
        <w:tc>
          <w:tcPr>
            <w:tcW w:w="1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C54D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inline distT="0" distB="0" distL="114300" distR="114300">
                  <wp:extent cx="1005205" cy="932815"/>
                  <wp:effectExtent l="0" t="0" r="4445" b="635"/>
                  <wp:docPr id="1" name="图片_1"/>
                  <wp:cNvGraphicFramePr/>
                  <a:graphic xmlns:a="http://schemas.openxmlformats.org/drawingml/2006/main">
                    <a:graphicData uri="http://schemas.openxmlformats.org/drawingml/2006/picture">
                      <pic:pic xmlns:pic="http://schemas.openxmlformats.org/drawingml/2006/picture">
                        <pic:nvPicPr>
                          <pic:cNvPr id="1" name="图片_1"/>
                          <pic:cNvPicPr/>
                        </pic:nvPicPr>
                        <pic:blipFill>
                          <a:blip r:embed="rId5"/>
                          <a:stretch>
                            <a:fillRect/>
                          </a:stretch>
                        </pic:blipFill>
                        <pic:spPr>
                          <a:xfrm>
                            <a:off x="0" y="0"/>
                            <a:ext cx="1005205" cy="932815"/>
                          </a:xfrm>
                          <a:prstGeom prst="rect">
                            <a:avLst/>
                          </a:prstGeom>
                          <a:noFill/>
                          <a:ln w="9525">
                            <a:noFill/>
                          </a:ln>
                        </pic:spPr>
                      </pic:pic>
                    </a:graphicData>
                  </a:graphic>
                </wp:inline>
              </w:drawing>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29317">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1.管材厚度:≥2.5mm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 阻力调节：磁阻；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 最大承重≥150kg，净重≥60kg；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 LED显示（时间、阻力、距离、心率、卡路里等）；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 扶手心率监测，皮带传动，带移动滚轮。</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D1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E8765">
            <w:pPr>
              <w:keepNext w:val="0"/>
              <w:keepLines w:val="0"/>
              <w:widowControl/>
              <w:numPr>
                <w:ilvl w:val="0"/>
                <w:numId w:val="0"/>
              </w:numPr>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台</w:t>
            </w:r>
          </w:p>
        </w:tc>
        <w:tc>
          <w:tcPr>
            <w:tcW w:w="1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F31FE">
            <w:pPr>
              <w:keepNext w:val="0"/>
              <w:keepLines w:val="0"/>
              <w:widowControl/>
              <w:numPr>
                <w:ilvl w:val="0"/>
                <w:numId w:val="2"/>
              </w:numPr>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EB8600高端立式健身车-LED款</w:t>
            </w:r>
          </w:p>
          <w:p w14:paraId="5FF06AB2">
            <w:pPr>
              <w:keepNext w:val="0"/>
              <w:keepLines w:val="0"/>
              <w:widowControl/>
              <w:numPr>
                <w:ilvl w:val="0"/>
                <w:numId w:val="2"/>
              </w:numPr>
              <w:suppressLineNumbers w:val="0"/>
              <w:jc w:val="left"/>
              <w:textAlignment w:val="center"/>
              <w:rPr>
                <w:rFonts w:hint="eastAsia"/>
                <w:lang w:val="en-US" w:eastAsia="zh-CN"/>
              </w:rPr>
            </w:pPr>
            <w:r>
              <w:rPr>
                <w:rFonts w:hint="eastAsia" w:ascii="宋体" w:hAnsi="宋体" w:eastAsia="宋体" w:cs="宋体"/>
                <w:i w:val="0"/>
                <w:iCs w:val="0"/>
                <w:color w:val="000000"/>
                <w:kern w:val="2"/>
                <w:sz w:val="20"/>
                <w:szCs w:val="20"/>
                <w:u w:val="none"/>
                <w:lang w:val="en-US" w:eastAsia="zh-CN" w:bidi="ar-SA"/>
              </w:rPr>
              <w:t>MND</w:t>
            </w:r>
            <w:r>
              <w:rPr>
                <w:rFonts w:hint="eastAsia" w:ascii="宋体" w:hAnsi="宋体" w:eastAsia="宋体" w:cs="宋体"/>
                <w:i w:val="0"/>
                <w:iCs w:val="0"/>
                <w:color w:val="000000"/>
                <w:kern w:val="2"/>
                <w:sz w:val="20"/>
                <w:szCs w:val="20"/>
                <w:u w:val="none"/>
                <w:lang w:val="en-US" w:eastAsia="zh-CN" w:bidi="ar-SA"/>
              </w:rPr>
              <w:noBreakHyphen/>
            </w:r>
            <w:r>
              <w:rPr>
                <w:rFonts w:hint="eastAsia" w:ascii="宋体" w:hAnsi="宋体" w:eastAsia="宋体" w:cs="宋体"/>
                <w:i w:val="0"/>
                <w:iCs w:val="0"/>
                <w:color w:val="000000"/>
                <w:kern w:val="2"/>
                <w:sz w:val="20"/>
                <w:szCs w:val="20"/>
                <w:u w:val="none"/>
                <w:lang w:val="en-US" w:eastAsia="zh-CN" w:bidi="ar-SA"/>
              </w:rPr>
              <w:t>CC10</w:t>
            </w:r>
          </w:p>
          <w:p w14:paraId="7E06843C">
            <w:pPr>
              <w:keepNext w:val="0"/>
              <w:keepLines w:val="0"/>
              <w:widowControl/>
              <w:numPr>
                <w:ilvl w:val="0"/>
                <w:numId w:val="2"/>
              </w:numPr>
              <w:suppressLineNumbers w:val="0"/>
              <w:jc w:val="left"/>
              <w:textAlignment w:val="center"/>
              <w:rPr>
                <w:rFonts w:hint="eastAsia"/>
                <w:lang w:val="en-US" w:eastAsia="zh-CN"/>
              </w:rPr>
            </w:pPr>
            <w:r>
              <w:rPr>
                <w:rFonts w:hint="eastAsia" w:ascii="宋体" w:hAnsi="宋体" w:eastAsia="宋体" w:cs="宋体"/>
                <w:i w:val="0"/>
                <w:iCs w:val="0"/>
                <w:color w:val="000000"/>
                <w:kern w:val="2"/>
                <w:sz w:val="20"/>
                <w:szCs w:val="20"/>
                <w:u w:val="none"/>
                <w:lang w:val="en-US" w:eastAsia="zh-CN" w:bidi="ar-SA"/>
              </w:rPr>
              <w:t>ZF9400</w:t>
            </w:r>
          </w:p>
        </w:tc>
      </w:tr>
      <w:tr w14:paraId="38BE3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9"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2A97B">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758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水阻划船器</w:t>
            </w:r>
          </w:p>
        </w:tc>
        <w:tc>
          <w:tcPr>
            <w:tcW w:w="1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44F0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inline distT="0" distB="0" distL="114300" distR="114300">
                  <wp:extent cx="1016000" cy="844550"/>
                  <wp:effectExtent l="0" t="0" r="12700" b="12700"/>
                  <wp:docPr id="6" name="图片_5"/>
                  <wp:cNvGraphicFramePr/>
                  <a:graphic xmlns:a="http://schemas.openxmlformats.org/drawingml/2006/main">
                    <a:graphicData uri="http://schemas.openxmlformats.org/drawingml/2006/picture">
                      <pic:pic xmlns:pic="http://schemas.openxmlformats.org/drawingml/2006/picture">
                        <pic:nvPicPr>
                          <pic:cNvPr id="6" name="图片_5"/>
                          <pic:cNvPicPr/>
                        </pic:nvPicPr>
                        <pic:blipFill>
                          <a:blip r:embed="rId6"/>
                          <a:stretch>
                            <a:fillRect/>
                          </a:stretch>
                        </pic:blipFill>
                        <pic:spPr>
                          <a:xfrm>
                            <a:off x="0" y="0"/>
                            <a:ext cx="1016000" cy="844550"/>
                          </a:xfrm>
                          <a:prstGeom prst="rect">
                            <a:avLst/>
                          </a:prstGeom>
                          <a:noFill/>
                          <a:ln>
                            <a:noFill/>
                          </a:ln>
                        </pic:spPr>
                      </pic:pic>
                    </a:graphicData>
                  </a:graphic>
                </wp:inline>
              </w:drawing>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top"/>
          </w:tcPr>
          <w:p w14:paraId="53418CA5">
            <w:pPr>
              <w:keepNext w:val="0"/>
              <w:keepLines w:val="0"/>
              <w:widowControl/>
              <w:numPr>
                <w:ilvl w:val="0"/>
                <w:numId w:val="3"/>
              </w:numPr>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水阻划船器；</w:t>
            </w:r>
          </w:p>
          <w:p w14:paraId="4A68B559">
            <w:pPr>
              <w:keepNext w:val="0"/>
              <w:keepLines w:val="0"/>
              <w:widowControl/>
              <w:numPr>
                <w:ilvl w:val="0"/>
                <w:numId w:val="3"/>
              </w:numPr>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LCD显示器</w:t>
            </w:r>
          </w:p>
          <w:p w14:paraId="2C8F002D">
            <w:pPr>
              <w:keepNext w:val="0"/>
              <w:keepLines w:val="0"/>
              <w:widowControl/>
              <w:numPr>
                <w:ilvl w:val="0"/>
                <w:numId w:val="3"/>
              </w:numPr>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可调水箱</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 最大承重≥200kg</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3F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EBF1A">
            <w:pPr>
              <w:keepNext w:val="0"/>
              <w:keepLines w:val="0"/>
              <w:widowControl/>
              <w:numPr>
                <w:ilvl w:val="0"/>
                <w:numId w:val="0"/>
              </w:numPr>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台</w:t>
            </w:r>
          </w:p>
        </w:tc>
        <w:tc>
          <w:tcPr>
            <w:tcW w:w="1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2F202">
            <w:pPr>
              <w:keepNext w:val="0"/>
              <w:keepLines w:val="0"/>
              <w:widowControl/>
              <w:numPr>
                <w:ilvl w:val="0"/>
                <w:numId w:val="4"/>
              </w:numPr>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ZF7200</w:t>
            </w:r>
          </w:p>
          <w:p w14:paraId="4DF24FD9">
            <w:pPr>
              <w:keepNext w:val="0"/>
              <w:keepLines w:val="0"/>
              <w:widowControl/>
              <w:numPr>
                <w:ilvl w:val="0"/>
                <w:numId w:val="4"/>
              </w:numPr>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MND-W2</w:t>
            </w:r>
          </w:p>
          <w:p w14:paraId="16EC7C56">
            <w:pPr>
              <w:keepNext w:val="0"/>
              <w:keepLines w:val="0"/>
              <w:widowControl/>
              <w:numPr>
                <w:ilvl w:val="0"/>
                <w:numId w:val="4"/>
              </w:numPr>
              <w:suppressLineNumbers w:val="0"/>
              <w:jc w:val="left"/>
              <w:textAlignment w:val="center"/>
              <w:rPr>
                <w:rFonts w:hint="eastAsia"/>
                <w:lang w:val="en-US" w:eastAsia="zh-CN"/>
              </w:rPr>
            </w:pPr>
            <w:r>
              <w:rPr>
                <w:rFonts w:hint="eastAsia" w:ascii="宋体" w:hAnsi="宋体" w:eastAsia="宋体" w:cs="宋体"/>
                <w:i w:val="0"/>
                <w:iCs w:val="0"/>
                <w:color w:val="000000"/>
                <w:kern w:val="2"/>
                <w:sz w:val="20"/>
                <w:szCs w:val="20"/>
                <w:u w:val="none"/>
                <w:lang w:val="en-US" w:eastAsia="zh-CN" w:bidi="ar-SA"/>
              </w:rPr>
              <w:t>F500</w:t>
            </w:r>
          </w:p>
        </w:tc>
      </w:tr>
      <w:tr w14:paraId="6198C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23DD4">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196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小龙门架训练器</w:t>
            </w:r>
          </w:p>
        </w:tc>
        <w:tc>
          <w:tcPr>
            <w:tcW w:w="1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8785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inline distT="0" distB="0" distL="114300" distR="114300">
                  <wp:extent cx="1143000" cy="1059180"/>
                  <wp:effectExtent l="0" t="0" r="0" b="7620"/>
                  <wp:docPr id="2" name="图片_1_SpCnt_1"/>
                  <wp:cNvGraphicFramePr/>
                  <a:graphic xmlns:a="http://schemas.openxmlformats.org/drawingml/2006/main">
                    <a:graphicData uri="http://schemas.openxmlformats.org/drawingml/2006/picture">
                      <pic:pic xmlns:pic="http://schemas.openxmlformats.org/drawingml/2006/picture">
                        <pic:nvPicPr>
                          <pic:cNvPr id="2" name="图片_1_SpCnt_1"/>
                          <pic:cNvPicPr/>
                        </pic:nvPicPr>
                        <pic:blipFill>
                          <a:blip r:embed="rId7"/>
                          <a:stretch>
                            <a:fillRect/>
                          </a:stretch>
                        </pic:blipFill>
                        <pic:spPr>
                          <a:xfrm>
                            <a:off x="0" y="0"/>
                            <a:ext cx="1143000" cy="1059180"/>
                          </a:xfrm>
                          <a:prstGeom prst="rect">
                            <a:avLst/>
                          </a:prstGeom>
                          <a:noFill/>
                          <a:ln>
                            <a:noFill/>
                          </a:ln>
                        </pic:spPr>
                      </pic:pic>
                    </a:graphicData>
                  </a:graphic>
                </wp:inline>
              </w:drawing>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top"/>
          </w:tcPr>
          <w:p w14:paraId="30BC9AB3">
            <w:pPr>
              <w:keepNext w:val="0"/>
              <w:keepLines w:val="0"/>
              <w:widowControl/>
              <w:numPr>
                <w:ilvl w:val="0"/>
                <w:numId w:val="5"/>
              </w:numPr>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双配重，每侧≥75kg（纯钢片+减震胶垫+强磁插销）；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 主体管材50×100mm矩形管，壁厚≥2.5mm，钢质；</w:t>
            </w:r>
          </w:p>
          <w:p w14:paraId="2832783B">
            <w:pPr>
              <w:keepNext w:val="0"/>
              <w:keepLines w:val="0"/>
              <w:widowControl/>
              <w:numPr>
                <w:ilvl w:val="0"/>
                <w:numId w:val="0"/>
              </w:numPr>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3.</w:t>
            </w:r>
            <w:r>
              <w:rPr>
                <w:rFonts w:hint="eastAsia" w:ascii="宋体" w:hAnsi="宋体" w:eastAsia="宋体" w:cs="宋体"/>
                <w:i w:val="0"/>
                <w:iCs w:val="0"/>
                <w:color w:val="000000"/>
                <w:kern w:val="0"/>
                <w:sz w:val="20"/>
                <w:szCs w:val="20"/>
                <w:u w:val="none"/>
                <w:lang w:val="en-US" w:eastAsia="zh-CN" w:bidi="ar"/>
              </w:rPr>
              <w:t>锻炼部位：胸大肌，二头肌，三头肌，背阔肌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 净重≥340kg；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 手柄TPV材质，激光切割+机器人焊接+静电喷涂。</w:t>
            </w:r>
          </w:p>
          <w:p w14:paraId="733E5194">
            <w:pPr>
              <w:keepNext w:val="0"/>
              <w:keepLines w:val="0"/>
              <w:widowControl/>
              <w:numPr>
                <w:ilvl w:val="0"/>
                <w:numId w:val="0"/>
              </w:numPr>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6.</w:t>
            </w:r>
            <w:r>
              <w:rPr>
                <w:rFonts w:hint="eastAsia" w:ascii="宋体" w:hAnsi="宋体" w:eastAsia="宋体" w:cs="宋体"/>
                <w:i w:val="0"/>
                <w:iCs w:val="0"/>
                <w:color w:val="000000"/>
                <w:sz w:val="20"/>
                <w:szCs w:val="20"/>
                <w:u w:val="none"/>
              </w:rPr>
              <w:t>运动轨迹更符合人体运动学原理</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55F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891F7">
            <w:pPr>
              <w:keepNext w:val="0"/>
              <w:keepLines w:val="0"/>
              <w:widowControl/>
              <w:numPr>
                <w:ilvl w:val="0"/>
                <w:numId w:val="0"/>
              </w:numPr>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台</w:t>
            </w:r>
          </w:p>
        </w:tc>
        <w:tc>
          <w:tcPr>
            <w:tcW w:w="1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17C7D">
            <w:pPr>
              <w:keepNext w:val="0"/>
              <w:keepLines w:val="0"/>
              <w:widowControl/>
              <w:numPr>
                <w:ilvl w:val="0"/>
                <w:numId w:val="6"/>
              </w:numPr>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PX-1026</w:t>
            </w:r>
          </w:p>
          <w:p w14:paraId="202E51B4">
            <w:pPr>
              <w:keepNext w:val="0"/>
              <w:keepLines w:val="0"/>
              <w:widowControl/>
              <w:numPr>
                <w:ilvl w:val="0"/>
                <w:numId w:val="6"/>
              </w:numPr>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MND-F17</w:t>
            </w:r>
          </w:p>
          <w:p w14:paraId="348143C3">
            <w:pPr>
              <w:keepNext w:val="0"/>
              <w:keepLines w:val="0"/>
              <w:widowControl/>
              <w:numPr>
                <w:ilvl w:val="0"/>
                <w:numId w:val="6"/>
              </w:numPr>
              <w:suppressLineNumbers w:val="0"/>
              <w:jc w:val="left"/>
              <w:textAlignment w:val="center"/>
              <w:rPr>
                <w:rFonts w:hint="eastAsia"/>
                <w:lang w:val="en-US" w:eastAsia="zh-CN"/>
              </w:rPr>
            </w:pPr>
            <w:r>
              <w:rPr>
                <w:rFonts w:hint="eastAsia" w:ascii="宋体" w:hAnsi="宋体" w:eastAsia="宋体" w:cs="宋体"/>
                <w:i w:val="0"/>
                <w:iCs w:val="0"/>
                <w:color w:val="000000"/>
                <w:kern w:val="2"/>
                <w:sz w:val="20"/>
                <w:szCs w:val="20"/>
                <w:u w:val="none"/>
                <w:lang w:val="en-US" w:eastAsia="zh-CN" w:bidi="ar-SA"/>
              </w:rPr>
              <w:t>TB17</w:t>
            </w:r>
          </w:p>
        </w:tc>
      </w:tr>
      <w:tr w14:paraId="74A51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6"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B0EE5">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43A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0"/>
                <w:lang w:val="en-US" w:eastAsia="zh-CN" w:bidi="ar"/>
              </w:rPr>
              <w:t>可调式哑铃练习凳    Super Bench</w:t>
            </w:r>
          </w:p>
        </w:tc>
        <w:tc>
          <w:tcPr>
            <w:tcW w:w="1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B81F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inline distT="0" distB="0" distL="114300" distR="114300">
                  <wp:extent cx="1160780" cy="958850"/>
                  <wp:effectExtent l="0" t="0" r="1270" b="12700"/>
                  <wp:docPr id="3" name="图片_26"/>
                  <wp:cNvGraphicFramePr/>
                  <a:graphic xmlns:a="http://schemas.openxmlformats.org/drawingml/2006/main">
                    <a:graphicData uri="http://schemas.openxmlformats.org/drawingml/2006/picture">
                      <pic:pic xmlns:pic="http://schemas.openxmlformats.org/drawingml/2006/picture">
                        <pic:nvPicPr>
                          <pic:cNvPr id="3" name="图片_26"/>
                          <pic:cNvPicPr/>
                        </pic:nvPicPr>
                        <pic:blipFill>
                          <a:blip r:embed="rId8"/>
                          <a:stretch>
                            <a:fillRect/>
                          </a:stretch>
                        </pic:blipFill>
                        <pic:spPr>
                          <a:xfrm>
                            <a:off x="0" y="0"/>
                            <a:ext cx="1160780" cy="958850"/>
                          </a:xfrm>
                          <a:prstGeom prst="rect">
                            <a:avLst/>
                          </a:prstGeom>
                          <a:noFill/>
                          <a:ln>
                            <a:noFill/>
                          </a:ln>
                        </pic:spPr>
                      </pic:pic>
                    </a:graphicData>
                  </a:graphic>
                </wp:inline>
              </w:drawing>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top"/>
          </w:tcPr>
          <w:p w14:paraId="46625658">
            <w:pPr>
              <w:keepNext w:val="0"/>
              <w:keepLines w:val="0"/>
              <w:widowControl/>
              <w:numPr>
                <w:ilvl w:val="0"/>
                <w:numId w:val="0"/>
              </w:numPr>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1.</w:t>
            </w:r>
            <w:r>
              <w:rPr>
                <w:rFonts w:hint="eastAsia" w:ascii="宋体" w:hAnsi="宋体" w:eastAsia="宋体" w:cs="宋体"/>
                <w:i w:val="0"/>
                <w:iCs w:val="0"/>
                <w:color w:val="000000"/>
                <w:kern w:val="0"/>
                <w:sz w:val="20"/>
                <w:szCs w:val="20"/>
                <w:u w:val="none"/>
                <w:lang w:val="en-US" w:eastAsia="zh-CN" w:bidi="ar"/>
              </w:rPr>
              <w:t>主体管材50×100mm矩形管，壁厚≥2.5mm；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 净重≥38kg；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 坐垫高密度压缩海绵（聚氨酯发泡+超纤皮）；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 背垫多档位插销调节；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 表面静电喷涂，无尖锐棱角。</w:t>
            </w:r>
          </w:p>
          <w:p w14:paraId="69B6D762">
            <w:pPr>
              <w:keepNext w:val="0"/>
              <w:keepLines w:val="0"/>
              <w:widowControl/>
              <w:numPr>
                <w:ilvl w:val="0"/>
                <w:numId w:val="0"/>
              </w:numPr>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6.</w:t>
            </w:r>
            <w:r>
              <w:rPr>
                <w:rFonts w:hint="eastAsia" w:ascii="宋体" w:hAnsi="宋体" w:eastAsia="宋体" w:cs="宋体"/>
                <w:i w:val="0"/>
                <w:iCs w:val="0"/>
                <w:color w:val="000000"/>
                <w:kern w:val="0"/>
                <w:sz w:val="20"/>
                <w:szCs w:val="20"/>
                <w:u w:val="none"/>
                <w:lang w:val="en-US" w:eastAsia="zh-CN" w:bidi="ar"/>
              </w:rPr>
              <w:t>运动轨迹更符合人体运动学原理</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1B6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1C221">
            <w:pPr>
              <w:keepNext w:val="0"/>
              <w:keepLines w:val="0"/>
              <w:widowControl/>
              <w:numPr>
                <w:ilvl w:val="0"/>
                <w:numId w:val="0"/>
              </w:numPr>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台</w:t>
            </w:r>
          </w:p>
        </w:tc>
        <w:tc>
          <w:tcPr>
            <w:tcW w:w="1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FC36B">
            <w:pPr>
              <w:keepNext w:val="0"/>
              <w:keepLines w:val="0"/>
              <w:widowControl/>
              <w:numPr>
                <w:ilvl w:val="0"/>
                <w:numId w:val="7"/>
              </w:numPr>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PX-1031</w:t>
            </w:r>
          </w:p>
          <w:p w14:paraId="06BF2B4F">
            <w:pPr>
              <w:keepNext w:val="0"/>
              <w:keepLines w:val="0"/>
              <w:widowControl/>
              <w:numPr>
                <w:ilvl w:val="0"/>
                <w:numId w:val="7"/>
              </w:numPr>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MND-F39</w:t>
            </w:r>
          </w:p>
          <w:p w14:paraId="3ECCF24A">
            <w:pPr>
              <w:keepNext w:val="0"/>
              <w:keepLines w:val="0"/>
              <w:widowControl/>
              <w:numPr>
                <w:ilvl w:val="0"/>
                <w:numId w:val="7"/>
              </w:numPr>
              <w:suppressLineNumbers w:val="0"/>
              <w:jc w:val="left"/>
              <w:textAlignment w:val="center"/>
              <w:rPr>
                <w:rFonts w:hint="default" w:eastAsia="宋体"/>
                <w:lang w:val="en-US" w:eastAsia="zh-CN"/>
              </w:rPr>
            </w:pPr>
            <w:r>
              <w:rPr>
                <w:rFonts w:hint="eastAsia" w:ascii="宋体" w:hAnsi="宋体" w:eastAsia="宋体" w:cs="宋体"/>
                <w:i w:val="0"/>
                <w:iCs w:val="0"/>
                <w:color w:val="000000"/>
                <w:kern w:val="2"/>
                <w:sz w:val="20"/>
                <w:szCs w:val="20"/>
                <w:u w:val="none"/>
                <w:lang w:val="en-US" w:eastAsia="zh-CN" w:bidi="ar-SA"/>
              </w:rPr>
              <w:t>TB39</w:t>
            </w:r>
          </w:p>
        </w:tc>
      </w:tr>
      <w:tr w14:paraId="7A75F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7"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1A8B7">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6</w:t>
            </w:r>
          </w:p>
        </w:tc>
        <w:tc>
          <w:tcPr>
            <w:tcW w:w="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4A0EE0">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TPE瑜伽垫</w:t>
            </w:r>
          </w:p>
        </w:tc>
        <w:tc>
          <w:tcPr>
            <w:tcW w:w="18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2793FE">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drawing>
                <wp:inline distT="0" distB="0" distL="114300" distR="114300">
                  <wp:extent cx="923925" cy="828040"/>
                  <wp:effectExtent l="0" t="0" r="9525" b="10160"/>
                  <wp:docPr id="4" name="图片_6"/>
                  <wp:cNvGraphicFramePr/>
                  <a:graphic xmlns:a="http://schemas.openxmlformats.org/drawingml/2006/main">
                    <a:graphicData uri="http://schemas.openxmlformats.org/drawingml/2006/picture">
                      <pic:pic xmlns:pic="http://schemas.openxmlformats.org/drawingml/2006/picture">
                        <pic:nvPicPr>
                          <pic:cNvPr id="4" name="图片_6"/>
                          <pic:cNvPicPr/>
                        </pic:nvPicPr>
                        <pic:blipFill>
                          <a:blip r:embed="rId9"/>
                          <a:stretch>
                            <a:fillRect/>
                          </a:stretch>
                        </pic:blipFill>
                        <pic:spPr>
                          <a:xfrm>
                            <a:off x="0" y="0"/>
                            <a:ext cx="923925" cy="828040"/>
                          </a:xfrm>
                          <a:prstGeom prst="rect">
                            <a:avLst/>
                          </a:prstGeom>
                          <a:noFill/>
                          <a:ln>
                            <a:noFill/>
                          </a:ln>
                        </pic:spPr>
                      </pic:pic>
                    </a:graphicData>
                  </a:graphic>
                </wp:inline>
              </w:drawing>
            </w:r>
          </w:p>
        </w:tc>
        <w:tc>
          <w:tcPr>
            <w:tcW w:w="26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9D1641">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 材质：TPE（无毒无异味）；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 尺寸≥1830×610mm，厚度≥6mm；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 双色双面防滑</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D54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38D4A">
            <w:pPr>
              <w:keepNext w:val="0"/>
              <w:keepLines w:val="0"/>
              <w:widowControl/>
              <w:numPr>
                <w:ilvl w:val="0"/>
                <w:numId w:val="0"/>
              </w:numPr>
              <w:suppressLineNumbers w:val="0"/>
              <w:jc w:val="center"/>
              <w:textAlignment w:val="center"/>
              <w:rPr>
                <w:rFonts w:hint="default"/>
                <w:lang w:val="en-US" w:eastAsia="zh-CN"/>
              </w:rPr>
            </w:pPr>
            <w:r>
              <w:rPr>
                <w:rFonts w:hint="eastAsia"/>
                <w:lang w:val="en-US" w:eastAsia="zh-CN"/>
              </w:rPr>
              <w:t>个</w:t>
            </w:r>
          </w:p>
        </w:tc>
        <w:tc>
          <w:tcPr>
            <w:tcW w:w="1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D4162">
            <w:pPr>
              <w:keepNext w:val="0"/>
              <w:keepLines w:val="0"/>
              <w:widowControl/>
              <w:numPr>
                <w:ilvl w:val="0"/>
                <w:numId w:val="0"/>
              </w:numPr>
              <w:suppressLineNumbers w:val="0"/>
              <w:jc w:val="left"/>
              <w:textAlignment w:val="center"/>
              <w:rPr>
                <w:rFonts w:hint="eastAsia"/>
                <w:lang w:val="en-US" w:eastAsia="zh-CN"/>
              </w:rPr>
            </w:pPr>
          </w:p>
        </w:tc>
      </w:tr>
      <w:tr w14:paraId="2C707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7"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20A3A">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7</w:t>
            </w:r>
          </w:p>
        </w:tc>
        <w:tc>
          <w:tcPr>
            <w:tcW w:w="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38A08F">
            <w:pPr>
              <w:keepNext w:val="0"/>
              <w:keepLines w:val="0"/>
              <w:widowControl/>
              <w:suppressLineNumbers w:val="0"/>
              <w:jc w:val="left"/>
              <w:textAlignment w:val="top"/>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舞蹈镜</w:t>
            </w:r>
          </w:p>
        </w:tc>
        <w:tc>
          <w:tcPr>
            <w:tcW w:w="18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092D37">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drawing>
                <wp:inline distT="0" distB="0" distL="114300" distR="114300">
                  <wp:extent cx="1108710" cy="1265555"/>
                  <wp:effectExtent l="0" t="0" r="15240" b="1079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0"/>
                          <a:stretch>
                            <a:fillRect/>
                          </a:stretch>
                        </pic:blipFill>
                        <pic:spPr>
                          <a:xfrm>
                            <a:off x="0" y="0"/>
                            <a:ext cx="1108710" cy="1265555"/>
                          </a:xfrm>
                          <a:prstGeom prst="rect">
                            <a:avLst/>
                          </a:prstGeom>
                          <a:noFill/>
                          <a:ln>
                            <a:noFill/>
                          </a:ln>
                        </pic:spPr>
                      </pic:pic>
                    </a:graphicData>
                  </a:graphic>
                </wp:inline>
              </w:drawing>
            </w:r>
          </w:p>
        </w:tc>
        <w:tc>
          <w:tcPr>
            <w:tcW w:w="26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1651FE">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跳舞蹈镜子可移动全身镜家用带万向轮子落穿衣镜瑜伽室镜子 高178宽150防爆膜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4808B">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F71F8">
            <w:pPr>
              <w:keepNext w:val="0"/>
              <w:keepLines w:val="0"/>
              <w:widowControl/>
              <w:numPr>
                <w:ilvl w:val="0"/>
                <w:numId w:val="0"/>
              </w:numPr>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块</w:t>
            </w:r>
          </w:p>
        </w:tc>
        <w:tc>
          <w:tcPr>
            <w:tcW w:w="1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4F102">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p>
        </w:tc>
      </w:tr>
    </w:tbl>
    <w:p w14:paraId="0E370FA7">
      <w:pPr>
        <w:rPr>
          <w:rFonts w:hint="eastAsia"/>
          <w:b/>
          <w:bCs/>
        </w:rPr>
      </w:pPr>
      <w:r>
        <w:rPr>
          <w:rFonts w:hint="eastAsia"/>
          <w:b/>
          <w:bCs/>
        </w:rPr>
        <w:t>质量与安全通用要求：</w:t>
      </w:r>
    </w:p>
    <w:p w14:paraId="4D2078B4">
      <w:pPr>
        <w:numPr>
          <w:ilvl w:val="0"/>
          <w:numId w:val="8"/>
        </w:numPr>
        <w:spacing w:line="360" w:lineRule="auto"/>
        <w:ind w:firstLine="408"/>
        <w:rPr>
          <w:rFonts w:hint="eastAsia"/>
          <w:sz w:val="24"/>
        </w:rPr>
      </w:pPr>
      <w:r>
        <w:rPr>
          <w:rFonts w:hint="eastAsia"/>
          <w:sz w:val="24"/>
        </w:rPr>
        <w:t>所有器材须为原厂全新合格产品，提供出厂合格证、中文说明书及安全警示标识；</w:t>
      </w:r>
    </w:p>
    <w:p w14:paraId="2CD322CD">
      <w:pPr>
        <w:numPr>
          <w:ilvl w:val="0"/>
          <w:numId w:val="8"/>
        </w:numPr>
        <w:spacing w:line="360" w:lineRule="auto"/>
        <w:ind w:firstLine="408"/>
        <w:rPr>
          <w:rFonts w:hint="eastAsia"/>
          <w:sz w:val="24"/>
        </w:rPr>
      </w:pPr>
      <w:r>
        <w:rPr>
          <w:rFonts w:hint="eastAsia"/>
          <w:sz w:val="24"/>
        </w:rPr>
        <w:t>器材金属件无毛刺、锐边，所有运动部件防护到位；</w:t>
      </w:r>
    </w:p>
    <w:p w14:paraId="6839E377">
      <w:pPr>
        <w:numPr>
          <w:ilvl w:val="0"/>
          <w:numId w:val="8"/>
        </w:numPr>
        <w:spacing w:line="360" w:lineRule="auto"/>
        <w:ind w:firstLine="408"/>
        <w:rPr>
          <w:rFonts w:hint="eastAsia"/>
          <w:sz w:val="24"/>
          <w:lang w:val="en-US" w:eastAsia="zh-CN"/>
        </w:rPr>
      </w:pPr>
      <w:r>
        <w:rPr>
          <w:rFonts w:hint="eastAsia"/>
          <w:sz w:val="24"/>
        </w:rPr>
        <w:t>安装后必须与地面可靠固定，确保使用时不晃动、不位移。</w:t>
      </w:r>
    </w:p>
    <w:p w14:paraId="6E537F65">
      <w:pPr>
        <w:numPr>
          <w:ilvl w:val="0"/>
          <w:numId w:val="8"/>
        </w:numPr>
        <w:spacing w:line="360" w:lineRule="auto"/>
        <w:ind w:firstLine="408"/>
        <w:rPr>
          <w:rFonts w:hint="eastAsia"/>
          <w:sz w:val="24"/>
        </w:rPr>
      </w:pPr>
      <w:r>
        <w:rPr>
          <w:rFonts w:hint="eastAsia"/>
          <w:sz w:val="24"/>
          <w:lang w:val="en-US" w:eastAsia="zh-CN"/>
        </w:rPr>
        <w:t>本次采购投标报价为最终含税总价，包含货物运输、装货卸货、现场安装、辅材、人工及所有相关费用，招标人无需另行支付其他相关款项。</w:t>
      </w:r>
    </w:p>
    <w:p w14:paraId="378973F4">
      <w:pPr>
        <w:spacing w:line="360" w:lineRule="auto"/>
        <w:ind w:firstLine="408"/>
        <w:rPr>
          <w:sz w:val="24"/>
        </w:rPr>
      </w:pPr>
      <w:r>
        <w:rPr>
          <w:rFonts w:hint="eastAsia"/>
          <w:sz w:val="24"/>
        </w:rPr>
        <w:t>四、交付或实施时间、地点</w:t>
      </w:r>
    </w:p>
    <w:p w14:paraId="3322F502">
      <w:pPr>
        <w:spacing w:line="360" w:lineRule="auto"/>
        <w:ind w:firstLine="408"/>
        <w:rPr>
          <w:rFonts w:hint="eastAsia"/>
          <w:sz w:val="24"/>
          <w:lang w:val="en-US" w:eastAsia="zh-CN"/>
        </w:rPr>
      </w:pPr>
      <w:r>
        <w:rPr>
          <w:rFonts w:hint="eastAsia"/>
          <w:sz w:val="24"/>
          <w:lang w:val="en-US" w:eastAsia="zh-CN"/>
        </w:rPr>
        <w:t>交付时间：合同签订并且收到采购人通知后30个日历日内完成全部货物的供货、卸货、安装、调试并达到可使用状态。</w:t>
      </w:r>
    </w:p>
    <w:p w14:paraId="4C58CE67">
      <w:pPr>
        <w:spacing w:line="360" w:lineRule="auto"/>
        <w:ind w:firstLine="408"/>
        <w:rPr>
          <w:rFonts w:hint="default"/>
          <w:sz w:val="24"/>
          <w:lang w:val="en-US" w:eastAsia="zh-CN"/>
        </w:rPr>
      </w:pPr>
      <w:r>
        <w:rPr>
          <w:rFonts w:hint="eastAsia"/>
          <w:sz w:val="24"/>
          <w:lang w:val="en-US" w:eastAsia="zh-CN"/>
        </w:rPr>
        <w:t>交付地点：新建宿舍大楼健身房</w:t>
      </w:r>
    </w:p>
    <w:p w14:paraId="471FCE61">
      <w:pPr>
        <w:rPr>
          <w:rFonts w:hint="default"/>
          <w:lang w:val="en-US" w:eastAsia="zh-CN"/>
        </w:rPr>
      </w:pPr>
    </w:p>
    <w:p w14:paraId="64DB641F">
      <w:pPr>
        <w:spacing w:line="360" w:lineRule="auto"/>
        <w:ind w:firstLine="408"/>
        <w:rPr>
          <w:sz w:val="24"/>
        </w:rPr>
      </w:pPr>
      <w:r>
        <w:rPr>
          <w:rFonts w:hint="eastAsia"/>
          <w:sz w:val="24"/>
        </w:rPr>
        <w:t>五、采购项目需满足的服务标准、期限、效率等要求</w:t>
      </w:r>
    </w:p>
    <w:p w14:paraId="75593EBF">
      <w:pPr>
        <w:spacing w:line="360" w:lineRule="auto"/>
        <w:ind w:firstLine="408"/>
        <w:rPr>
          <w:rFonts w:hint="eastAsia"/>
          <w:sz w:val="24"/>
        </w:rPr>
      </w:pPr>
      <w:r>
        <w:rPr>
          <w:rFonts w:hint="eastAsia"/>
          <w:sz w:val="24"/>
        </w:rPr>
        <w:t>供应商提供的健身器材须为原厂全新正品，型号参数与投标文件及合同一致；安装调试后，所有器材运行平稳、无异常噪音、无安全隐患；提供全套中文使用说明书、维护手册及安全警示标识。</w:t>
      </w:r>
    </w:p>
    <w:p w14:paraId="64D5D806">
      <w:pPr>
        <w:numPr>
          <w:ilvl w:val="0"/>
          <w:numId w:val="9"/>
        </w:numPr>
        <w:spacing w:line="360" w:lineRule="auto"/>
        <w:ind w:firstLine="408"/>
        <w:rPr>
          <w:rFonts w:hint="eastAsia"/>
          <w:sz w:val="24"/>
        </w:rPr>
      </w:pPr>
      <w:r>
        <w:rPr>
          <w:rFonts w:hint="eastAsia"/>
          <w:sz w:val="24"/>
        </w:rPr>
        <w:t>合同款项的支付方式、时间、条件</w:t>
      </w:r>
    </w:p>
    <w:p w14:paraId="59A1C0BA">
      <w:pPr>
        <w:snapToGrid w:val="0"/>
        <w:spacing w:line="360" w:lineRule="auto"/>
        <w:ind w:left="239" w:leftChars="114" w:right="145" w:rightChars="69"/>
        <w:jc w:val="left"/>
        <w:rPr>
          <w:rFonts w:hint="default" w:ascii="宋体" w:hAnsi="宋体" w:eastAsiaTheme="minorEastAsia"/>
          <w:sz w:val="24"/>
          <w:lang w:val="en-US" w:eastAsia="zh-CN"/>
        </w:rPr>
      </w:pPr>
      <w:r>
        <w:rPr>
          <w:rFonts w:hint="eastAsia" w:ascii="宋体" w:hAnsi="宋体"/>
          <w:sz w:val="24"/>
        </w:rPr>
        <w:t>付款方式</w:t>
      </w:r>
      <w:r>
        <w:rPr>
          <w:rFonts w:hint="eastAsia" w:ascii="宋体" w:hAnsi="宋体"/>
          <w:sz w:val="24"/>
          <w:lang w:val="en-US" w:eastAsia="zh-CN"/>
        </w:rPr>
        <w:t>以合同约定为准。</w:t>
      </w:r>
    </w:p>
    <w:p w14:paraId="3ABB561B">
      <w:pPr>
        <w:spacing w:line="360" w:lineRule="auto"/>
        <w:ind w:firstLine="408"/>
        <w:rPr>
          <w:sz w:val="24"/>
        </w:rPr>
      </w:pPr>
      <w:r>
        <w:rPr>
          <w:rFonts w:hint="eastAsia"/>
          <w:sz w:val="24"/>
        </w:rPr>
        <w:t>七、项目验收方法或标准</w:t>
      </w:r>
    </w:p>
    <w:p w14:paraId="207BBD56">
      <w:pPr>
        <w:spacing w:line="360" w:lineRule="auto"/>
        <w:ind w:firstLine="408"/>
        <w:rPr>
          <w:rFonts w:hint="eastAsia"/>
          <w:sz w:val="24"/>
        </w:rPr>
      </w:pPr>
      <w:r>
        <w:rPr>
          <w:rFonts w:hint="eastAsia"/>
          <w:sz w:val="24"/>
        </w:rPr>
        <w:t>初步验收：货物送达后，开箱核对品牌、型号、数量、外观、配件及随附单证（合格证、说明书等）；</w:t>
      </w:r>
    </w:p>
    <w:p w14:paraId="1CAF8CB3">
      <w:pPr>
        <w:spacing w:line="360" w:lineRule="auto"/>
        <w:ind w:firstLine="408"/>
        <w:rPr>
          <w:rFonts w:hint="eastAsia" w:eastAsiaTheme="minorEastAsia"/>
          <w:sz w:val="24"/>
          <w:lang w:eastAsia="zh-CN"/>
        </w:rPr>
      </w:pPr>
      <w:r>
        <w:rPr>
          <w:rFonts w:hint="eastAsia"/>
          <w:sz w:val="24"/>
        </w:rPr>
        <w:t>安装调试验收：完成安装调试后，供应商提交书面验收申请，</w:t>
      </w:r>
      <w:r>
        <w:rPr>
          <w:rFonts w:hint="eastAsia"/>
          <w:sz w:val="24"/>
          <w:lang w:val="en-US" w:eastAsia="zh-CN"/>
        </w:rPr>
        <w:t>试运行</w:t>
      </w:r>
      <w:r>
        <w:rPr>
          <w:rFonts w:hint="eastAsia"/>
          <w:sz w:val="24"/>
        </w:rPr>
        <w:t>7个工作日</w:t>
      </w:r>
      <w:r>
        <w:rPr>
          <w:rFonts w:hint="eastAsia"/>
          <w:sz w:val="24"/>
          <w:lang w:val="en-US" w:eastAsia="zh-CN"/>
        </w:rPr>
        <w:t>后</w:t>
      </w:r>
      <w:r>
        <w:rPr>
          <w:rFonts w:hint="eastAsia"/>
          <w:sz w:val="24"/>
        </w:rPr>
        <w:t>组织验收</w:t>
      </w:r>
      <w:r>
        <w:rPr>
          <w:rFonts w:hint="eastAsia"/>
          <w:sz w:val="24"/>
          <w:lang w:eastAsia="zh-CN"/>
        </w:rPr>
        <w:t>，</w:t>
      </w:r>
      <w:r>
        <w:rPr>
          <w:rFonts w:hint="eastAsia"/>
          <w:sz w:val="24"/>
        </w:rPr>
        <w:t>检验稳定性、安全性及功能性</w:t>
      </w:r>
      <w:r>
        <w:rPr>
          <w:rFonts w:hint="eastAsia"/>
          <w:sz w:val="24"/>
          <w:lang w:eastAsia="zh-CN"/>
        </w:rPr>
        <w:t>。</w:t>
      </w:r>
    </w:p>
    <w:p w14:paraId="2960BE93">
      <w:pPr>
        <w:spacing w:line="360" w:lineRule="auto"/>
        <w:ind w:firstLine="408"/>
        <w:rPr>
          <w:sz w:val="24"/>
        </w:rPr>
      </w:pPr>
      <w:r>
        <w:rPr>
          <w:rFonts w:hint="eastAsia"/>
          <w:sz w:val="24"/>
        </w:rPr>
        <w:t>八、售后服务要求</w:t>
      </w:r>
    </w:p>
    <w:p w14:paraId="7448CCA7">
      <w:pPr>
        <w:spacing w:line="360" w:lineRule="auto"/>
        <w:ind w:firstLine="408"/>
        <w:rPr>
          <w:rFonts w:hint="eastAsia" w:eastAsiaTheme="minorEastAsia"/>
          <w:sz w:val="24"/>
          <w:lang w:eastAsia="zh-CN"/>
        </w:rPr>
      </w:pPr>
      <w:r>
        <w:rPr>
          <w:rFonts w:hint="eastAsia"/>
          <w:sz w:val="24"/>
        </w:rPr>
        <w:t xml:space="preserve">自设备最终交付使用后不少于 </w:t>
      </w:r>
      <w:r>
        <w:rPr>
          <w:rFonts w:hint="eastAsia"/>
          <w:sz w:val="24"/>
          <w:lang w:val="en-US" w:eastAsia="zh-CN"/>
        </w:rPr>
        <w:t>12</w:t>
      </w:r>
      <w:r>
        <w:rPr>
          <w:rFonts w:hint="eastAsia"/>
          <w:sz w:val="24"/>
        </w:rPr>
        <w:t xml:space="preserve"> 个月的质量保修期</w:t>
      </w:r>
      <w:r>
        <w:rPr>
          <w:rFonts w:hint="eastAsia"/>
          <w:sz w:val="24"/>
          <w:lang w:eastAsia="zh-CN"/>
        </w:rPr>
        <w:t>，</w:t>
      </w:r>
      <w:r>
        <w:rPr>
          <w:rFonts w:hint="eastAsia"/>
          <w:sz w:val="24"/>
        </w:rPr>
        <w:t>保修期内设备发生故障，</w:t>
      </w:r>
      <w:r>
        <w:rPr>
          <w:rFonts w:hint="eastAsia"/>
          <w:sz w:val="24"/>
          <w:lang w:val="en-US" w:eastAsia="zh-CN"/>
        </w:rPr>
        <w:t>中标方</w:t>
      </w:r>
      <w:r>
        <w:rPr>
          <w:rFonts w:hint="eastAsia"/>
          <w:sz w:val="24"/>
        </w:rPr>
        <w:t>应</w:t>
      </w:r>
      <w:r>
        <w:rPr>
          <w:rFonts w:hint="eastAsia"/>
          <w:sz w:val="24"/>
          <w:lang w:val="en-US" w:eastAsia="zh-CN"/>
        </w:rPr>
        <w:t>于24小时内响应，48小时内</w:t>
      </w:r>
      <w:r>
        <w:rPr>
          <w:rFonts w:hint="eastAsia"/>
          <w:sz w:val="24"/>
        </w:rPr>
        <w:t>派人维修，</w:t>
      </w:r>
      <w:r>
        <w:rPr>
          <w:rFonts w:hint="eastAsia"/>
          <w:sz w:val="24"/>
          <w:lang w:val="en-US" w:eastAsia="zh-CN"/>
        </w:rPr>
        <w:t>免费提供配件及技术支持。如需返厂维修费用由中标方承担，无法维修则由中标方免费换新，</w:t>
      </w:r>
      <w:r>
        <w:rPr>
          <w:rFonts w:hint="eastAsia"/>
          <w:sz w:val="24"/>
        </w:rPr>
        <w:t>不再收取人工费、材料费、设备费等任何</w:t>
      </w:r>
      <w:r>
        <w:rPr>
          <w:rFonts w:hint="eastAsia"/>
          <w:sz w:val="24"/>
          <w:lang w:val="en-US" w:eastAsia="zh-CN"/>
        </w:rPr>
        <w:t>可能发生的</w:t>
      </w:r>
      <w:r>
        <w:rPr>
          <w:rFonts w:hint="eastAsia"/>
          <w:sz w:val="24"/>
        </w:rPr>
        <w:t>费用。</w:t>
      </w:r>
    </w:p>
    <w:p w14:paraId="75C52C45">
      <w:pPr>
        <w:spacing w:line="360" w:lineRule="auto"/>
        <w:ind w:firstLine="408"/>
        <w:rPr>
          <w:sz w:val="24"/>
        </w:rPr>
      </w:pPr>
      <w:r>
        <w:rPr>
          <w:rFonts w:hint="eastAsia"/>
          <w:sz w:val="24"/>
        </w:rPr>
        <w:t>九、其他要求</w:t>
      </w:r>
    </w:p>
    <w:p w14:paraId="6B056CAC">
      <w:pPr>
        <w:spacing w:line="360" w:lineRule="auto"/>
        <w:ind w:firstLine="420" w:firstLineChars="200"/>
        <w:rPr>
          <w:rFonts w:hint="eastAsia" w:eastAsiaTheme="minorEastAsia"/>
          <w:lang w:val="en-US" w:eastAsia="zh-CN"/>
        </w:rPr>
      </w:pPr>
      <w:r>
        <w:rPr>
          <w:rFonts w:hint="eastAsia"/>
          <w:lang w:val="en-US" w:eastAsia="zh-CN"/>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AA494A"/>
    <w:multiLevelType w:val="singleLevel"/>
    <w:tmpl w:val="9CAA494A"/>
    <w:lvl w:ilvl="0" w:tentative="0">
      <w:start w:val="1"/>
      <w:numFmt w:val="decimal"/>
      <w:suff w:val="nothing"/>
      <w:lvlText w:val="%1、"/>
      <w:lvlJc w:val="left"/>
    </w:lvl>
  </w:abstractNum>
  <w:abstractNum w:abstractNumId="1">
    <w:nsid w:val="C9F2F46D"/>
    <w:multiLevelType w:val="singleLevel"/>
    <w:tmpl w:val="C9F2F46D"/>
    <w:lvl w:ilvl="0" w:tentative="0">
      <w:start w:val="1"/>
      <w:numFmt w:val="decimal"/>
      <w:suff w:val="nothing"/>
      <w:lvlText w:val="%1、"/>
      <w:lvlJc w:val="left"/>
    </w:lvl>
  </w:abstractNum>
  <w:abstractNum w:abstractNumId="2">
    <w:nsid w:val="F2BDCE30"/>
    <w:multiLevelType w:val="singleLevel"/>
    <w:tmpl w:val="F2BDCE30"/>
    <w:lvl w:ilvl="0" w:tentative="0">
      <w:start w:val="1"/>
      <w:numFmt w:val="decimal"/>
      <w:suff w:val="nothing"/>
      <w:lvlText w:val="%1、"/>
      <w:lvlJc w:val="left"/>
    </w:lvl>
  </w:abstractNum>
  <w:abstractNum w:abstractNumId="3">
    <w:nsid w:val="3689D247"/>
    <w:multiLevelType w:val="singleLevel"/>
    <w:tmpl w:val="3689D247"/>
    <w:lvl w:ilvl="0" w:tentative="0">
      <w:start w:val="3"/>
      <w:numFmt w:val="chineseCounting"/>
      <w:suff w:val="nothing"/>
      <w:lvlText w:val="%1、"/>
      <w:lvlJc w:val="left"/>
      <w:rPr>
        <w:rFonts w:hint="eastAsia"/>
      </w:rPr>
    </w:lvl>
  </w:abstractNum>
  <w:abstractNum w:abstractNumId="4">
    <w:nsid w:val="4EA85458"/>
    <w:multiLevelType w:val="singleLevel"/>
    <w:tmpl w:val="4EA85458"/>
    <w:lvl w:ilvl="0" w:tentative="0">
      <w:start w:val="1"/>
      <w:numFmt w:val="decimal"/>
      <w:suff w:val="nothing"/>
      <w:lvlText w:val="%1、"/>
      <w:lvlJc w:val="left"/>
    </w:lvl>
  </w:abstractNum>
  <w:abstractNum w:abstractNumId="5">
    <w:nsid w:val="4FB2B838"/>
    <w:multiLevelType w:val="singleLevel"/>
    <w:tmpl w:val="4FB2B838"/>
    <w:lvl w:ilvl="0" w:tentative="0">
      <w:start w:val="1"/>
      <w:numFmt w:val="decimal"/>
      <w:suff w:val="space"/>
      <w:lvlText w:val="%1."/>
      <w:lvlJc w:val="left"/>
    </w:lvl>
  </w:abstractNum>
  <w:abstractNum w:abstractNumId="6">
    <w:nsid w:val="510EBD97"/>
    <w:multiLevelType w:val="singleLevel"/>
    <w:tmpl w:val="510EBD97"/>
    <w:lvl w:ilvl="0" w:tentative="0">
      <w:start w:val="1"/>
      <w:numFmt w:val="decimal"/>
      <w:suff w:val="nothing"/>
      <w:lvlText w:val="%1、"/>
      <w:lvlJc w:val="left"/>
    </w:lvl>
  </w:abstractNum>
  <w:abstractNum w:abstractNumId="7">
    <w:nsid w:val="521BEAC6"/>
    <w:multiLevelType w:val="singleLevel"/>
    <w:tmpl w:val="521BEAC6"/>
    <w:lvl w:ilvl="0" w:tentative="0">
      <w:start w:val="6"/>
      <w:numFmt w:val="chineseCounting"/>
      <w:suff w:val="nothing"/>
      <w:lvlText w:val="%1、"/>
      <w:lvlJc w:val="left"/>
      <w:rPr>
        <w:rFonts w:hint="eastAsia"/>
      </w:rPr>
    </w:lvl>
  </w:abstractNum>
  <w:abstractNum w:abstractNumId="8">
    <w:nsid w:val="5BB09F4F"/>
    <w:multiLevelType w:val="singleLevel"/>
    <w:tmpl w:val="5BB09F4F"/>
    <w:lvl w:ilvl="0" w:tentative="0">
      <w:start w:val="1"/>
      <w:numFmt w:val="decimal"/>
      <w:suff w:val="space"/>
      <w:lvlText w:val="%1."/>
      <w:lvlJc w:val="left"/>
    </w:lvl>
  </w:abstractNum>
  <w:num w:numId="1">
    <w:abstractNumId w:val="3"/>
  </w:num>
  <w:num w:numId="2">
    <w:abstractNumId w:val="1"/>
  </w:num>
  <w:num w:numId="3">
    <w:abstractNumId w:val="8"/>
  </w:num>
  <w:num w:numId="4">
    <w:abstractNumId w:val="4"/>
  </w:num>
  <w:num w:numId="5">
    <w:abstractNumId w:val="5"/>
  </w:num>
  <w:num w:numId="6">
    <w:abstractNumId w:val="6"/>
  </w:num>
  <w:num w:numId="7">
    <w:abstractNumId w:val="0"/>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3E7E"/>
    <w:rsid w:val="01BD0127"/>
    <w:rsid w:val="07375BAD"/>
    <w:rsid w:val="0BE502CE"/>
    <w:rsid w:val="10D92F84"/>
    <w:rsid w:val="1622084F"/>
    <w:rsid w:val="16EA2C3C"/>
    <w:rsid w:val="16F51F13"/>
    <w:rsid w:val="1842437E"/>
    <w:rsid w:val="23C200EA"/>
    <w:rsid w:val="282E4FB5"/>
    <w:rsid w:val="293D309F"/>
    <w:rsid w:val="2AE51410"/>
    <w:rsid w:val="2BBA5A08"/>
    <w:rsid w:val="32611F93"/>
    <w:rsid w:val="36AC3162"/>
    <w:rsid w:val="38C040AC"/>
    <w:rsid w:val="3A872622"/>
    <w:rsid w:val="404F0F7D"/>
    <w:rsid w:val="4485226E"/>
    <w:rsid w:val="44EC3F08"/>
    <w:rsid w:val="4C287A27"/>
    <w:rsid w:val="4F9B3B60"/>
    <w:rsid w:val="4FCC2E01"/>
    <w:rsid w:val="576638B7"/>
    <w:rsid w:val="585D3491"/>
    <w:rsid w:val="5B4A40F2"/>
    <w:rsid w:val="5E634C08"/>
    <w:rsid w:val="5EC36EAF"/>
    <w:rsid w:val="65515636"/>
    <w:rsid w:val="677D6F18"/>
    <w:rsid w:val="6B824366"/>
    <w:rsid w:val="711D3B66"/>
    <w:rsid w:val="7A7E5E22"/>
    <w:rsid w:val="7CE936F8"/>
    <w:rsid w:val="7E0618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toc 1"/>
    <w:basedOn w:val="1"/>
    <w:next w:val="1"/>
    <w:qFormat/>
    <w:uiPriority w:val="0"/>
    <w:pPr>
      <w:spacing w:line="360" w:lineRule="auto"/>
    </w:pPr>
    <w:rPr>
      <w:rFonts w:asciiTheme="minorAscii" w:hAnsiTheme="minorAscii"/>
      <w:sz w:val="24"/>
    </w:rPr>
  </w:style>
  <w:style w:type="paragraph" w:styleId="5">
    <w:name w:val="Normal (Web)"/>
    <w:basedOn w:val="1"/>
    <w:qFormat/>
    <w:uiPriority w:val="0"/>
    <w:rPr>
      <w:sz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font11"/>
    <w:basedOn w:val="7"/>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1620</Words>
  <Characters>1901</Characters>
  <Lines>0</Lines>
  <Paragraphs>0</Paragraphs>
  <TotalTime>64</TotalTime>
  <ScaleCrop>false</ScaleCrop>
  <LinksUpToDate>false</LinksUpToDate>
  <CharactersWithSpaces>1947</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2026-04-09T12:51:00Z</dcterms:created>
  <dc:creator>白国斌</dc:creator>
  <cp:lastModifiedBy>OFFICE</cp:lastModifiedBy>
  <dcterms:modified xsi:type="dcterms:W3CDTF">2026-06-16T08:27:17Z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5261FA8813864C4A862233DAD2B83E21_12</vt:lpwstr>
  </property>
  <property fmtid="{D5CDD505-2E9C-101B-9397-08002B2CF9AE}" pid="4" name="KSOTemplateDocerSaveRecord">
    <vt:lpwstr>eyJoZGlkIjoiNDUwMTFkMDI3ZjBmZjczM2Q3M2EwOGI5M2VjYzUzMDkiLCJ1c2VySWQiOiIxNTI2Mjc3ODc2In0=</vt:lpwstr>
  </property>
</Properties>
</file>