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5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/>
                <w:sz w:val="24"/>
                <w:lang w:val="en-US" w:eastAsia="zh-CN"/>
              </w:rPr>
              <w:instrText xml:space="preserve"> HYPERLINK "https://nbkjw.suibe.edu.cn/manager/for-teacher/textbook-apply/info/1804?REDIRECT_URL=/for-teacher/textbook-apply/?queryPage__=1%2C20" </w:instrText>
            </w:r>
            <w:r>
              <w:rPr>
                <w:rFonts w:hint="eastAsia" w:ascii="宋体" w:hAnsi="宋体"/>
                <w:sz w:val="24"/>
                <w:lang w:val="en-US" w:eastAsia="zh-CN"/>
              </w:rPr>
              <w:fldChar w:fldCharType="separate"/>
            </w:r>
            <w:r>
              <w:rPr>
                <w:rFonts w:hint="default" w:ascii="宋体" w:hAnsi="宋体"/>
                <w:sz w:val="24"/>
                <w:lang w:val="en-US" w:eastAsia="zh-CN"/>
              </w:rPr>
              <w:t>艺术鉴赏</w:t>
            </w:r>
            <w:r>
              <w:rPr>
                <w:rFonts w:hint="default" w:ascii="宋体" w:hAnsi="宋体"/>
                <w:sz w:val="24"/>
                <w:lang w:val="en-US" w:eastAsia="zh-CN"/>
              </w:rPr>
              <w:fldChar w:fldCharType="end"/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tabs>
                <w:tab w:val="left" w:pos="315"/>
              </w:tabs>
              <w:spacing w:line="360" w:lineRule="auto"/>
              <w:ind w:left="-48" w:leftChars="-66" w:right="-96" w:rightChars="0" w:hanging="91" w:hangingChars="57"/>
              <w:jc w:val="center"/>
              <w:rPr>
                <w:rFonts w:hint="eastAsia" w:ascii="宋体" w:hAnsi="宋体"/>
                <w:sz w:val="16"/>
                <w:szCs w:val="15"/>
              </w:rPr>
            </w:pPr>
            <w:r>
              <w:rPr>
                <w:rFonts w:hint="eastAsia" w:ascii="宋体" w:hAnsi="宋体"/>
                <w:sz w:val="16"/>
                <w:szCs w:val="15"/>
              </w:rPr>
              <w:t>王萍萍, 颜艳, 陈青, 主编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清华大学出版社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/>
                <w:sz w:val="16"/>
                <w:szCs w:val="15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9787302706267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2026.02.01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default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（选）演艺娱乐创意与欣赏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大一至大四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6B743CE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9A034BB">
            <w:pPr>
              <w:tabs>
                <w:tab w:val="left" w:pos="315"/>
              </w:tabs>
              <w:spacing w:line="360" w:lineRule="auto"/>
              <w:ind w:right="210" w:rightChars="100" w:firstLine="400" w:firstLineChars="200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该教材依据教育部《高等学校公共艺术课程指导纲要》编写，坚持马克思主义指导地位，弘扬中华美育精神，导向正确，无意识形态问题。内容涵盖音乐、舞蹈、美术、戏剧等六大艺术门类，结构合理，知识准确。2026年新出版，时效性强，融入“互联网+”立体化资源。适用高职及本科通识课程，面向大一至大四学生，兼顾专升本备考，实用性强。由清华大学出版社出版，体例规范。主编王萍萍、颜艳等均为高校党员骨干，政治素质过硬。经审查，无宗教、民族、版权等负面情况。同意选用。</w:t>
            </w:r>
          </w:p>
          <w:p w14:paraId="2681173C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eastAsia" w:ascii="宋体" w:hAnsi="宋体"/>
                <w:sz w:val="24"/>
              </w:rPr>
            </w:pPr>
          </w:p>
          <w:p w14:paraId="2352BF9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专家工作单位：工商管理学院     专家职务（职称）：文化产业管理系主任（副教授）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477520" cy="318135"/>
                  <wp:effectExtent l="0" t="0" r="5080" b="12065"/>
                  <wp:docPr id="2" name="图片 2" descr="微信图片_20260603172426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微信图片_20260603172426_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520" cy="31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日期：2026-6-3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5E00EB9F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61C0D90"/>
    <w:rsid w:val="54BE2A37"/>
    <w:rsid w:val="583E0B79"/>
    <w:rsid w:val="6B8754D9"/>
    <w:rsid w:val="6BA63365"/>
    <w:rsid w:val="73B438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1</Pages>
  <Words>1018</Words>
  <Characters>1079</Characters>
  <Lines>6</Lines>
  <Paragraphs>1</Paragraphs>
  <TotalTime>1</TotalTime>
  <ScaleCrop>false</ScaleCrop>
  <LinksUpToDate>false</LinksUpToDate>
  <CharactersWithSpaces>1358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2024-09-07T20:52:00Z</dcterms:created>
  <dc:creator>SuXiChao</dc:creator>
  <cp:lastModifiedBy>yangmiao</cp:lastModifiedBy>
  <cp:lastPrinted>2024-04-24T09:55:00Z</cp:lastPrinted>
  <dcterms:modified xsi:type="dcterms:W3CDTF">2026-06-03T09:47:04Z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80081AF82F174BD1ABCC462A1AEEE912_13</vt:lpwstr>
  </property>
</Properties>
</file>