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014E28">
      <w:pPr>
        <w:spacing w:line="560" w:lineRule="exact"/>
        <w:jc w:val="center"/>
        <w:rPr>
          <w:rFonts w:ascii="方正小标宋简体" w:eastAsia="方正小标宋简体"/>
          <w:b w:val="0"/>
          <w:bCs w:val="0"/>
          <w:sz w:val="44"/>
          <w:szCs w:val="44"/>
          <w:highlight w:val="none"/>
        </w:rPr>
      </w:pPr>
      <w:bookmarkStart w:id="0" w:name="_Toc100066398"/>
      <w:r>
        <w:rPr>
          <w:rFonts w:ascii="方正小标宋简体" w:eastAsia="方正小标宋简体"/>
          <w:b w:val="0"/>
          <w:bCs w:val="0"/>
          <w:sz w:val="44"/>
          <w:szCs w:val="44"/>
          <w:highlight w:val="none"/>
        </w:rPr>
        <w:t>上海对外经贸大学</w:t>
      </w:r>
      <w:r>
        <w:rPr>
          <w:rFonts w:hint="eastAsia" w:ascii="方正小标宋简体" w:eastAsia="方正小标宋简体"/>
          <w:b w:val="0"/>
          <w:bCs w:val="0"/>
          <w:sz w:val="44"/>
          <w:szCs w:val="44"/>
          <w:highlight w:val="none"/>
        </w:rPr>
        <w:t>第三方经营单位及纳入学校集中采购范围工程项目施工</w:t>
      </w:r>
      <w:r>
        <w:rPr>
          <w:rFonts w:ascii="方正小标宋简体" w:eastAsia="方正小标宋简体"/>
          <w:b w:val="0"/>
          <w:bCs w:val="0"/>
          <w:sz w:val="44"/>
          <w:szCs w:val="44"/>
          <w:highlight w:val="none"/>
        </w:rPr>
        <w:t>单位</w:t>
      </w:r>
      <w:r>
        <w:rPr>
          <w:rFonts w:hint="eastAsia" w:ascii="方正小标宋简体" w:eastAsia="方正小标宋简体"/>
          <w:b w:val="0"/>
          <w:bCs w:val="0"/>
          <w:sz w:val="44"/>
          <w:szCs w:val="44"/>
          <w:highlight w:val="none"/>
        </w:rPr>
        <w:t>用水用能</w:t>
      </w:r>
      <w:r>
        <w:rPr>
          <w:rFonts w:ascii="方正小标宋简体" w:eastAsia="方正小标宋简体"/>
          <w:b w:val="0"/>
          <w:bCs w:val="0"/>
          <w:sz w:val="44"/>
          <w:szCs w:val="44"/>
          <w:highlight w:val="none"/>
        </w:rPr>
        <w:t>管理</w:t>
      </w:r>
      <w:r>
        <w:rPr>
          <w:rFonts w:hint="eastAsia" w:ascii="方正小标宋简体" w:eastAsia="方正小标宋简体"/>
          <w:b w:val="0"/>
          <w:bCs w:val="0"/>
          <w:sz w:val="44"/>
          <w:szCs w:val="44"/>
          <w:highlight w:val="none"/>
        </w:rPr>
        <w:t>办法</w:t>
      </w:r>
      <w:bookmarkEnd w:id="0"/>
      <w:r>
        <w:rPr>
          <w:rFonts w:hint="eastAsia" w:ascii="方正小标宋简体" w:eastAsia="方正小标宋简体"/>
          <w:b w:val="0"/>
          <w:bCs w:val="0"/>
          <w:sz w:val="44"/>
          <w:szCs w:val="44"/>
          <w:highlight w:val="none"/>
        </w:rPr>
        <w:t>（</w:t>
      </w:r>
      <w:r>
        <w:rPr>
          <w:rFonts w:hint="eastAsia" w:ascii="方正小标宋简体" w:eastAsia="方正小标宋简体"/>
          <w:b w:val="0"/>
          <w:bCs w:val="0"/>
          <w:sz w:val="44"/>
          <w:szCs w:val="44"/>
          <w:highlight w:val="none"/>
          <w:lang w:val="en-US" w:eastAsia="zh-CN"/>
        </w:rPr>
        <w:t>试行</w:t>
      </w:r>
      <w:r>
        <w:rPr>
          <w:rFonts w:hint="eastAsia" w:ascii="方正小标宋简体" w:eastAsia="方正小标宋简体"/>
          <w:b w:val="0"/>
          <w:bCs w:val="0"/>
          <w:sz w:val="44"/>
          <w:szCs w:val="44"/>
          <w:highlight w:val="none"/>
        </w:rPr>
        <w:t>）</w:t>
      </w:r>
    </w:p>
    <w:p w14:paraId="7FB894D0">
      <w:pPr>
        <w:spacing w:line="500" w:lineRule="exact"/>
        <w:rPr>
          <w:rFonts w:ascii="黑体" w:hAnsi="黑体" w:eastAsia="黑体"/>
          <w:sz w:val="32"/>
          <w:szCs w:val="32"/>
          <w:highlight w:val="none"/>
        </w:rPr>
      </w:pPr>
    </w:p>
    <w:p w14:paraId="5CC57A06">
      <w:pPr>
        <w:keepNext w:val="0"/>
        <w:keepLines w:val="0"/>
        <w:pageBreakBefore w:val="0"/>
        <w:widowControl w:val="0"/>
        <w:kinsoku/>
        <w:wordWrap/>
        <w:topLinePunct w:val="0"/>
        <w:autoSpaceDE/>
        <w:autoSpaceDN/>
        <w:bidi w:val="0"/>
        <w:adjustRightInd/>
        <w:snapToGrid/>
        <w:spacing w:line="600" w:lineRule="exact"/>
        <w:jc w:val="center"/>
        <w:textAlignment w:val="auto"/>
        <w:rPr>
          <w:rFonts w:ascii="黑体" w:hAnsi="黑体" w:eastAsia="黑体"/>
          <w:sz w:val="32"/>
          <w:szCs w:val="32"/>
          <w:highlight w:val="none"/>
        </w:rPr>
      </w:pPr>
      <w:r>
        <w:rPr>
          <w:rFonts w:hint="eastAsia" w:ascii="黑体" w:hAnsi="黑体" w:eastAsia="黑体"/>
          <w:sz w:val="32"/>
          <w:szCs w:val="32"/>
          <w:highlight w:val="none"/>
        </w:rPr>
        <w:t xml:space="preserve">第一章 </w:t>
      </w:r>
      <w:r>
        <w:rPr>
          <w:rFonts w:ascii="黑体" w:hAnsi="黑体" w:eastAsia="黑体"/>
          <w:sz w:val="32"/>
          <w:szCs w:val="32"/>
          <w:highlight w:val="none"/>
        </w:rPr>
        <w:t xml:space="preserve"> </w:t>
      </w:r>
      <w:r>
        <w:rPr>
          <w:rFonts w:hint="eastAsia" w:ascii="黑体" w:hAnsi="黑体" w:eastAsia="黑体"/>
          <w:sz w:val="32"/>
          <w:szCs w:val="32"/>
          <w:highlight w:val="none"/>
        </w:rPr>
        <w:t>总则</w:t>
      </w:r>
    </w:p>
    <w:p w14:paraId="3D1D5CA6">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ascii="仿宋_GB2312" w:hAnsi="仿宋" w:eastAsia="仿宋_GB2312"/>
          <w:sz w:val="32"/>
          <w:szCs w:val="32"/>
          <w:highlight w:val="none"/>
        </w:rPr>
      </w:pPr>
      <w:r>
        <w:rPr>
          <w:rFonts w:hint="eastAsia" w:ascii="仿宋_GB2312" w:hAnsi="仿宋" w:eastAsia="仿宋_GB2312"/>
          <w:b/>
          <w:sz w:val="32"/>
          <w:szCs w:val="32"/>
          <w:highlight w:val="none"/>
        </w:rPr>
        <w:t xml:space="preserve">第一条 </w:t>
      </w:r>
      <w:r>
        <w:rPr>
          <w:rFonts w:hint="eastAsia" w:ascii="仿宋_GB2312" w:hAnsi="仿宋" w:eastAsia="仿宋_GB2312"/>
          <w:sz w:val="32"/>
          <w:szCs w:val="32"/>
          <w:highlight w:val="none"/>
        </w:rPr>
        <w:t>为加强水资源、能源管理，全面提高学校第三方经营单位及工程项目施工单位合理、安全、节约用水用能的意识，建设资源节约型校园，有效推进节能、降耗、减排工作，保障学校水资源、能源的正常使用，根据国家《中华人民共和国节约能源法》等法规，制定本办法。</w:t>
      </w:r>
      <w:r>
        <w:rPr>
          <w:rFonts w:ascii="仿宋_GB2312" w:hAnsi="仿宋" w:eastAsia="仿宋_GB2312"/>
          <w:sz w:val="32"/>
          <w:szCs w:val="32"/>
          <w:highlight w:val="none"/>
        </w:rPr>
        <w:br w:type="textWrapping"/>
      </w:r>
      <w:r>
        <w:rPr>
          <w:rFonts w:hint="eastAsia" w:ascii="楷体" w:hAnsi="楷体" w:eastAsia="楷体"/>
          <w:sz w:val="32"/>
          <w:szCs w:val="32"/>
          <w:highlight w:val="none"/>
          <w:shd w:val="clear" w:color="auto" w:fill="FFFFFF"/>
        </w:rPr>
        <w:t xml:space="preserve">   </w:t>
      </w:r>
      <w:r>
        <w:rPr>
          <w:rFonts w:hint="eastAsia" w:ascii="楷体" w:hAnsi="楷体" w:eastAsia="楷体"/>
          <w:b/>
          <w:sz w:val="32"/>
          <w:szCs w:val="32"/>
          <w:highlight w:val="none"/>
          <w:shd w:val="clear" w:color="auto" w:fill="FFFFFF"/>
        </w:rPr>
        <w:t xml:space="preserve"> </w:t>
      </w:r>
      <w:r>
        <w:rPr>
          <w:rFonts w:hint="eastAsia" w:ascii="仿宋_GB2312" w:hAnsi="仿宋" w:eastAsia="仿宋_GB2312"/>
          <w:b/>
          <w:sz w:val="32"/>
          <w:szCs w:val="32"/>
          <w:highlight w:val="none"/>
        </w:rPr>
        <w:t xml:space="preserve">第二条 </w:t>
      </w:r>
      <w:r>
        <w:rPr>
          <w:rFonts w:hint="eastAsia" w:ascii="仿宋_GB2312" w:hAnsi="仿宋" w:eastAsia="仿宋_GB2312"/>
          <w:sz w:val="32"/>
          <w:szCs w:val="32"/>
          <w:highlight w:val="none"/>
        </w:rPr>
        <w:t>本办法所称水资源，包括自来水、中水、地下水、湖水等资源。本办法所称能源，是指电、天然气、汽油、柴油等常规能源。</w:t>
      </w:r>
    </w:p>
    <w:p w14:paraId="5F90FFB7">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hint="eastAsia" w:ascii="仿宋_GB2312" w:hAnsi="仿宋" w:eastAsia="仿宋_GB2312"/>
          <w:sz w:val="32"/>
          <w:szCs w:val="32"/>
          <w:highlight w:val="none"/>
        </w:rPr>
      </w:pPr>
      <w:r>
        <w:rPr>
          <w:rFonts w:hint="eastAsia" w:ascii="仿宋_GB2312" w:hAnsi="仿宋" w:eastAsia="仿宋_GB2312"/>
          <w:b/>
          <w:sz w:val="32"/>
          <w:szCs w:val="32"/>
          <w:highlight w:val="none"/>
        </w:rPr>
        <w:t>第三条</w:t>
      </w:r>
      <w:r>
        <w:rPr>
          <w:rFonts w:hint="eastAsia" w:ascii="仿宋_GB2312" w:hAnsi="仿宋" w:eastAsia="仿宋_GB2312"/>
          <w:sz w:val="32"/>
          <w:szCs w:val="32"/>
          <w:highlight w:val="none"/>
        </w:rPr>
        <w:t xml:space="preserve"> 使用学校水网、电网、天然气及其他能源系统的第三方经营单位及纳入学校集中采购范</w:t>
      </w:r>
      <w:r>
        <w:rPr>
          <w:rFonts w:hint="eastAsia" w:ascii="仿宋_GB2312" w:hAnsi="仿宋" w:eastAsia="仿宋_GB2312"/>
          <w:sz w:val="32"/>
          <w:szCs w:val="32"/>
          <w:highlight w:val="none"/>
          <w:lang w:eastAsia="zh-CN"/>
        </w:rPr>
        <w:t>围的</w:t>
      </w:r>
      <w:r>
        <w:rPr>
          <w:rFonts w:hint="eastAsia" w:ascii="仿宋_GB2312" w:hAnsi="仿宋" w:eastAsia="仿宋_GB2312"/>
          <w:sz w:val="32"/>
          <w:szCs w:val="32"/>
          <w:highlight w:val="none"/>
        </w:rPr>
        <w:t xml:space="preserve">工程项目施工单位 </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以下简称</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原则上均应</w:t>
      </w:r>
      <w:r>
        <w:rPr>
          <w:rFonts w:hint="eastAsia" w:ascii="仿宋_GB2312" w:hAnsi="仿宋" w:eastAsia="仿宋_GB2312"/>
          <w:sz w:val="32"/>
          <w:szCs w:val="32"/>
          <w:highlight w:val="none"/>
          <w:lang w:val="en-US" w:eastAsia="zh-CN"/>
        </w:rPr>
        <w:t>按时</w:t>
      </w:r>
      <w:r>
        <w:rPr>
          <w:rFonts w:hint="eastAsia" w:ascii="仿宋_GB2312" w:hAnsi="仿宋" w:eastAsia="仿宋_GB2312"/>
          <w:sz w:val="32"/>
          <w:szCs w:val="32"/>
          <w:highlight w:val="none"/>
        </w:rPr>
        <w:t>缴纳用水用能费用，如有特殊政策支持，以上级文件要求及合同约定为准。</w:t>
      </w:r>
    </w:p>
    <w:p w14:paraId="7435672C">
      <w:pPr>
        <w:keepNext w:val="0"/>
        <w:keepLines w:val="0"/>
        <w:pageBreakBefore w:val="0"/>
        <w:widowControl w:val="0"/>
        <w:kinsoku/>
        <w:wordWrap/>
        <w:topLinePunct w:val="0"/>
        <w:autoSpaceDE/>
        <w:autoSpaceDN/>
        <w:bidi w:val="0"/>
        <w:adjustRightInd/>
        <w:snapToGrid/>
        <w:spacing w:line="600" w:lineRule="exact"/>
        <w:jc w:val="center"/>
        <w:textAlignment w:val="auto"/>
        <w:rPr>
          <w:rFonts w:ascii="黑体" w:hAnsi="黑体" w:eastAsia="黑体"/>
          <w:sz w:val="32"/>
          <w:szCs w:val="32"/>
          <w:highlight w:val="none"/>
        </w:rPr>
      </w:pPr>
      <w:r>
        <w:rPr>
          <w:rFonts w:hint="eastAsia" w:ascii="黑体" w:hAnsi="黑体" w:eastAsia="黑体"/>
          <w:sz w:val="32"/>
          <w:szCs w:val="32"/>
          <w:highlight w:val="none"/>
        </w:rPr>
        <w:t>第二章  管理组织机构</w:t>
      </w:r>
    </w:p>
    <w:p w14:paraId="2D308EC2">
      <w:pPr>
        <w:keepNext w:val="0"/>
        <w:keepLines w:val="0"/>
        <w:pageBreakBefore w:val="0"/>
        <w:widowControl w:val="0"/>
        <w:kinsoku/>
        <w:wordWrap/>
        <w:topLinePunct w:val="0"/>
        <w:autoSpaceDE/>
        <w:autoSpaceDN/>
        <w:bidi w:val="0"/>
        <w:adjustRightInd/>
        <w:snapToGrid/>
        <w:spacing w:line="600" w:lineRule="exact"/>
        <w:ind w:firstLine="638"/>
        <w:textAlignment w:val="auto"/>
        <w:rPr>
          <w:rFonts w:ascii="仿宋_GB2312" w:hAnsi="仿宋" w:eastAsia="仿宋_GB2312"/>
          <w:sz w:val="32"/>
          <w:szCs w:val="32"/>
          <w:highlight w:val="none"/>
        </w:rPr>
      </w:pPr>
      <w:r>
        <w:rPr>
          <w:rFonts w:ascii="仿宋_GB2312" w:hAnsi="仿宋" w:eastAsia="仿宋_GB2312"/>
          <w:b/>
          <w:sz w:val="32"/>
          <w:szCs w:val="32"/>
          <w:highlight w:val="none"/>
        </w:rPr>
        <w:t>第四条</w:t>
      </w:r>
      <w:r>
        <w:rPr>
          <w:rFonts w:hint="eastAsia" w:ascii="仿宋_GB2312" w:hAnsi="仿宋" w:eastAsia="仿宋_GB2312"/>
          <w:sz w:val="32"/>
          <w:szCs w:val="32"/>
          <w:highlight w:val="none"/>
        </w:rPr>
        <w:t xml:space="preserve"> 上海对外经贸大学节水节能工作领导小组</w:t>
      </w:r>
      <w:r>
        <w:rPr>
          <w:rFonts w:ascii="仿宋_GB2312" w:hAnsi="仿宋" w:eastAsia="仿宋_GB2312"/>
          <w:sz w:val="32"/>
          <w:szCs w:val="32"/>
          <w:highlight w:val="none"/>
        </w:rPr>
        <w:t>，由</w:t>
      </w:r>
      <w:r>
        <w:rPr>
          <w:rFonts w:hint="eastAsia" w:ascii="仿宋_GB2312" w:hAnsi="仿宋" w:eastAsia="仿宋_GB2312"/>
          <w:sz w:val="32"/>
          <w:szCs w:val="32"/>
          <w:highlight w:val="none"/>
        </w:rPr>
        <w:t>分</w:t>
      </w:r>
      <w:r>
        <w:rPr>
          <w:rFonts w:ascii="仿宋_GB2312" w:hAnsi="仿宋" w:eastAsia="仿宋_GB2312"/>
          <w:sz w:val="32"/>
          <w:szCs w:val="32"/>
          <w:highlight w:val="none"/>
        </w:rPr>
        <w:t>管后勤</w:t>
      </w:r>
      <w:r>
        <w:rPr>
          <w:rFonts w:hint="eastAsia" w:ascii="仿宋_GB2312" w:hAnsi="仿宋" w:eastAsia="仿宋_GB2312"/>
          <w:sz w:val="32"/>
          <w:szCs w:val="32"/>
          <w:highlight w:val="none"/>
        </w:rPr>
        <w:t>管理</w:t>
      </w:r>
      <w:r>
        <w:rPr>
          <w:rFonts w:ascii="仿宋_GB2312" w:hAnsi="仿宋" w:eastAsia="仿宋_GB2312"/>
          <w:sz w:val="32"/>
          <w:szCs w:val="32"/>
          <w:highlight w:val="none"/>
        </w:rPr>
        <w:t>工作副校长担任组长，</w:t>
      </w:r>
      <w:r>
        <w:rPr>
          <w:rFonts w:hint="eastAsia" w:ascii="仿宋_GB2312" w:hAnsi="仿宋" w:eastAsia="仿宋_GB2312"/>
          <w:sz w:val="32"/>
          <w:szCs w:val="32"/>
          <w:highlight w:val="none"/>
        </w:rPr>
        <w:t>后勤综合管理处处长担任副组长，成员由</w:t>
      </w:r>
      <w:r>
        <w:rPr>
          <w:rFonts w:ascii="仿宋_GB2312" w:hAnsi="仿宋" w:eastAsia="仿宋_GB2312"/>
          <w:sz w:val="32"/>
          <w:szCs w:val="32"/>
          <w:highlight w:val="none"/>
        </w:rPr>
        <w:t>相关职能</w:t>
      </w:r>
      <w:r>
        <w:rPr>
          <w:rFonts w:hint="eastAsia" w:ascii="仿宋_GB2312" w:hAnsi="仿宋" w:eastAsia="仿宋_GB2312"/>
          <w:sz w:val="32"/>
          <w:szCs w:val="32"/>
          <w:highlight w:val="none"/>
        </w:rPr>
        <w:t>部门</w:t>
      </w:r>
      <w:r>
        <w:rPr>
          <w:rFonts w:ascii="仿宋_GB2312" w:hAnsi="仿宋" w:eastAsia="仿宋_GB2312"/>
          <w:sz w:val="32"/>
          <w:szCs w:val="32"/>
          <w:highlight w:val="none"/>
        </w:rPr>
        <w:t>负责人</w:t>
      </w:r>
      <w:r>
        <w:rPr>
          <w:rFonts w:hint="eastAsia" w:ascii="仿宋_GB2312" w:hAnsi="仿宋" w:eastAsia="仿宋_GB2312"/>
          <w:sz w:val="32"/>
          <w:szCs w:val="32"/>
          <w:highlight w:val="none"/>
        </w:rPr>
        <w:t>组成</w:t>
      </w:r>
      <w:r>
        <w:rPr>
          <w:rFonts w:ascii="仿宋_GB2312" w:hAnsi="仿宋" w:eastAsia="仿宋_GB2312"/>
          <w:sz w:val="32"/>
          <w:szCs w:val="32"/>
          <w:highlight w:val="none"/>
        </w:rPr>
        <w:t>。</w:t>
      </w:r>
      <w:r>
        <w:rPr>
          <w:rFonts w:hint="eastAsia" w:ascii="仿宋_GB2312" w:hAnsi="仿宋" w:eastAsia="仿宋_GB2312"/>
          <w:sz w:val="32"/>
          <w:szCs w:val="32"/>
          <w:highlight w:val="none"/>
        </w:rPr>
        <w:t>领导小组下设能源管理办公室，负责对学校节水、节能工作开展的组织、指导、协调、统计、检查和考核。能源管理办公室（以下简称能源办）设于后勤综合管理处。</w:t>
      </w:r>
    </w:p>
    <w:p w14:paraId="1655E37D">
      <w:pPr>
        <w:keepNext w:val="0"/>
        <w:keepLines w:val="0"/>
        <w:pageBreakBefore w:val="0"/>
        <w:widowControl w:val="0"/>
        <w:kinsoku/>
        <w:wordWrap/>
        <w:topLinePunct w:val="0"/>
        <w:autoSpaceDE/>
        <w:autoSpaceDN/>
        <w:bidi w:val="0"/>
        <w:adjustRightInd/>
        <w:snapToGrid/>
        <w:spacing w:line="600" w:lineRule="exact"/>
        <w:ind w:firstLine="638"/>
        <w:textAlignment w:val="auto"/>
        <w:rPr>
          <w:rFonts w:ascii="仿宋_GB2312" w:hAnsi="仿宋" w:eastAsia="仿宋_GB2312"/>
          <w:sz w:val="32"/>
          <w:szCs w:val="32"/>
          <w:highlight w:val="none"/>
        </w:rPr>
      </w:pPr>
      <w:r>
        <w:rPr>
          <w:rFonts w:ascii="仿宋_GB2312" w:hAnsi="仿宋" w:eastAsia="仿宋_GB2312"/>
          <w:b/>
          <w:sz w:val="32"/>
          <w:szCs w:val="32"/>
          <w:highlight w:val="none"/>
        </w:rPr>
        <w:t>第五条</w:t>
      </w:r>
      <w:r>
        <w:rPr>
          <w:rFonts w:ascii="仿宋_GB2312" w:hAnsi="仿宋" w:eastAsia="仿宋_GB2312"/>
          <w:sz w:val="32"/>
          <w:szCs w:val="32"/>
          <w:highlight w:val="none"/>
        </w:rPr>
        <w:t xml:space="preserve"> </w:t>
      </w:r>
      <w:r>
        <w:rPr>
          <w:rFonts w:hint="eastAsia" w:ascii="仿宋_GB2312" w:hAnsi="仿宋" w:eastAsia="仿宋_GB2312"/>
          <w:sz w:val="32"/>
          <w:szCs w:val="32"/>
          <w:highlight w:val="none"/>
        </w:rPr>
        <w:t>能源办</w:t>
      </w:r>
      <w:r>
        <w:rPr>
          <w:rFonts w:ascii="仿宋_GB2312" w:hAnsi="仿宋" w:eastAsia="仿宋_GB2312"/>
          <w:sz w:val="32"/>
          <w:szCs w:val="32"/>
          <w:highlight w:val="none"/>
        </w:rPr>
        <w:t>负责</w:t>
      </w:r>
      <w:r>
        <w:rPr>
          <w:rFonts w:hint="eastAsia" w:ascii="仿宋_GB2312" w:hAnsi="仿宋" w:eastAsia="仿宋_GB2312"/>
          <w:sz w:val="32"/>
          <w:szCs w:val="32"/>
          <w:highlight w:val="none"/>
        </w:rPr>
        <w:t>制定</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用户用水用能的各类规章制度</w:t>
      </w:r>
      <w:r>
        <w:rPr>
          <w:rFonts w:ascii="仿宋_GB2312" w:hAnsi="仿宋" w:eastAsia="仿宋_GB2312"/>
          <w:sz w:val="32"/>
          <w:szCs w:val="32"/>
          <w:highlight w:val="none"/>
        </w:rPr>
        <w:t>，完善</w:t>
      </w:r>
      <w:r>
        <w:rPr>
          <w:rFonts w:hint="eastAsia" w:ascii="仿宋_GB2312" w:hAnsi="仿宋" w:eastAsia="仿宋_GB2312"/>
          <w:sz w:val="32"/>
          <w:szCs w:val="32"/>
          <w:highlight w:val="none"/>
        </w:rPr>
        <w:t>相关</w:t>
      </w:r>
      <w:r>
        <w:rPr>
          <w:rFonts w:ascii="仿宋_GB2312" w:hAnsi="仿宋" w:eastAsia="仿宋_GB2312"/>
          <w:sz w:val="32"/>
          <w:szCs w:val="32"/>
          <w:highlight w:val="none"/>
        </w:rPr>
        <w:t>工作方案和具体措施，推进学校节水节能工作，</w:t>
      </w:r>
      <w:r>
        <w:rPr>
          <w:rFonts w:hint="eastAsia" w:ascii="仿宋_GB2312" w:hAnsi="仿宋" w:eastAsia="仿宋_GB2312"/>
          <w:sz w:val="32"/>
          <w:szCs w:val="32"/>
          <w:highlight w:val="none"/>
        </w:rPr>
        <w:t>积极配合</w:t>
      </w:r>
      <w:r>
        <w:rPr>
          <w:rFonts w:ascii="仿宋_GB2312" w:hAnsi="仿宋" w:eastAsia="仿宋_GB2312"/>
          <w:sz w:val="32"/>
          <w:szCs w:val="32"/>
          <w:highlight w:val="none"/>
        </w:rPr>
        <w:t>能源审计。</w:t>
      </w:r>
    </w:p>
    <w:p w14:paraId="2758FA97">
      <w:pPr>
        <w:keepNext w:val="0"/>
        <w:keepLines w:val="0"/>
        <w:pageBreakBefore w:val="0"/>
        <w:widowControl w:val="0"/>
        <w:kinsoku/>
        <w:wordWrap/>
        <w:topLinePunct w:val="0"/>
        <w:autoSpaceDE/>
        <w:autoSpaceDN/>
        <w:bidi w:val="0"/>
        <w:adjustRightInd/>
        <w:snapToGrid/>
        <w:spacing w:line="600" w:lineRule="exact"/>
        <w:ind w:firstLine="638"/>
        <w:textAlignment w:val="auto"/>
        <w:rPr>
          <w:rFonts w:hint="eastAsia" w:ascii="仿宋_GB2312" w:hAnsi="仿宋" w:eastAsia="仿宋_GB2312"/>
          <w:sz w:val="32"/>
          <w:szCs w:val="32"/>
          <w:highlight w:val="none"/>
        </w:rPr>
      </w:pPr>
      <w:r>
        <w:rPr>
          <w:rFonts w:hint="eastAsia" w:ascii="仿宋_GB2312" w:hAnsi="仿宋" w:eastAsia="仿宋_GB2312"/>
          <w:b/>
          <w:sz w:val="32"/>
          <w:szCs w:val="32"/>
          <w:highlight w:val="none"/>
        </w:rPr>
        <w:t>第六条</w:t>
      </w:r>
      <w:r>
        <w:rPr>
          <w:rFonts w:hint="eastAsia" w:ascii="仿宋_GB2312" w:hAnsi="仿宋" w:eastAsia="仿宋_GB2312"/>
          <w:sz w:val="32"/>
          <w:szCs w:val="32"/>
          <w:highlight w:val="none"/>
        </w:rPr>
        <w:t xml:space="preserve"> 本着“谁引进，谁负责”的原则，引进</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用户的单位或</w:t>
      </w:r>
      <w:r>
        <w:rPr>
          <w:rFonts w:hint="eastAsia" w:ascii="仿宋_GB2312" w:hAnsi="仿宋" w:eastAsia="仿宋_GB2312"/>
          <w:sz w:val="32"/>
          <w:szCs w:val="32"/>
          <w:highlight w:val="none"/>
          <w:lang w:val="en-US" w:eastAsia="zh-CN"/>
        </w:rPr>
        <w:t>职能</w:t>
      </w:r>
      <w:r>
        <w:rPr>
          <w:rFonts w:hint="eastAsia" w:ascii="仿宋_GB2312" w:hAnsi="仿宋" w:eastAsia="仿宋_GB2312"/>
          <w:sz w:val="32"/>
          <w:szCs w:val="32"/>
          <w:highlight w:val="none"/>
        </w:rPr>
        <w:t>部门</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以下简称引进方</w:t>
      </w:r>
      <w:r>
        <w:rPr>
          <w:rFonts w:hint="eastAsia" w:ascii="仿宋_GB2312" w:hAnsi="仿宋" w:eastAsia="仿宋_GB2312"/>
          <w:sz w:val="32"/>
          <w:szCs w:val="32"/>
          <w:highlight w:val="none"/>
          <w:lang w:eastAsia="zh-CN"/>
        </w:rPr>
        <w:t>）</w:t>
      </w:r>
      <w:r>
        <w:rPr>
          <w:rFonts w:ascii="仿宋_GB2312" w:hAnsi="仿宋" w:eastAsia="仿宋_GB2312"/>
          <w:sz w:val="32"/>
          <w:szCs w:val="32"/>
          <w:highlight w:val="none"/>
        </w:rPr>
        <w:t>应加强</w:t>
      </w:r>
      <w:r>
        <w:rPr>
          <w:rFonts w:hint="eastAsia" w:ascii="仿宋_GB2312" w:hAnsi="仿宋" w:eastAsia="仿宋_GB2312"/>
          <w:sz w:val="32"/>
          <w:szCs w:val="32"/>
          <w:highlight w:val="none"/>
        </w:rPr>
        <w:t>对第三方</w:t>
      </w:r>
      <w:r>
        <w:rPr>
          <w:rFonts w:hint="eastAsia" w:ascii="仿宋_GB2312" w:hAnsi="仿宋" w:eastAsia="仿宋_GB2312"/>
          <w:sz w:val="32"/>
          <w:szCs w:val="32"/>
          <w:highlight w:val="none"/>
          <w:lang w:val="en-US" w:eastAsia="zh-CN"/>
        </w:rPr>
        <w:t>用户用水用能</w:t>
      </w:r>
      <w:r>
        <w:rPr>
          <w:rFonts w:ascii="仿宋_GB2312" w:hAnsi="仿宋" w:eastAsia="仿宋_GB2312"/>
          <w:sz w:val="32"/>
          <w:szCs w:val="32"/>
          <w:highlight w:val="none"/>
        </w:rPr>
        <w:t>工作的</w:t>
      </w:r>
      <w:r>
        <w:rPr>
          <w:rFonts w:hint="eastAsia" w:ascii="仿宋_GB2312" w:hAnsi="仿宋" w:eastAsia="仿宋_GB2312"/>
          <w:sz w:val="32"/>
          <w:szCs w:val="32"/>
          <w:highlight w:val="none"/>
        </w:rPr>
        <w:t>监督和</w:t>
      </w:r>
      <w:r>
        <w:rPr>
          <w:rFonts w:ascii="仿宋_GB2312" w:hAnsi="仿宋" w:eastAsia="仿宋_GB2312"/>
          <w:sz w:val="32"/>
          <w:szCs w:val="32"/>
          <w:highlight w:val="none"/>
        </w:rPr>
        <w:t>管理，明确</w:t>
      </w:r>
      <w:r>
        <w:rPr>
          <w:rFonts w:hint="eastAsia" w:ascii="仿宋_GB2312" w:hAnsi="仿宋" w:eastAsia="仿宋_GB2312"/>
          <w:sz w:val="32"/>
          <w:szCs w:val="32"/>
          <w:highlight w:val="none"/>
        </w:rPr>
        <w:t>监管负责人</w:t>
      </w:r>
      <w:r>
        <w:rPr>
          <w:rFonts w:hint="eastAsia" w:ascii="仿宋_GB2312" w:hAnsi="仿宋" w:eastAsia="仿宋_GB2312"/>
          <w:sz w:val="32"/>
          <w:szCs w:val="32"/>
          <w:highlight w:val="none"/>
          <w:lang w:val="en-US" w:eastAsia="zh-CN"/>
        </w:rPr>
        <w:t>，</w:t>
      </w:r>
      <w:r>
        <w:rPr>
          <w:rFonts w:hint="eastAsia" w:ascii="仿宋_GB2312" w:hAnsi="仿宋" w:eastAsia="仿宋_GB2312"/>
          <w:sz w:val="32"/>
          <w:szCs w:val="32"/>
          <w:highlight w:val="none"/>
        </w:rPr>
        <w:t>落实学校</w:t>
      </w:r>
      <w:r>
        <w:rPr>
          <w:rFonts w:hint="eastAsia" w:ascii="仿宋_GB2312" w:hAnsi="仿宋" w:eastAsia="仿宋_GB2312"/>
          <w:sz w:val="32"/>
          <w:szCs w:val="32"/>
          <w:highlight w:val="none"/>
          <w:lang w:val="en-US" w:eastAsia="zh-CN"/>
        </w:rPr>
        <w:t>用水用能</w:t>
      </w:r>
      <w:r>
        <w:rPr>
          <w:rFonts w:hint="eastAsia" w:ascii="仿宋_GB2312" w:hAnsi="仿宋" w:eastAsia="仿宋_GB2312"/>
          <w:sz w:val="32"/>
          <w:szCs w:val="32"/>
          <w:highlight w:val="none"/>
        </w:rPr>
        <w:t>相关制度，追究</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用户因</w:t>
      </w:r>
      <w:r>
        <w:rPr>
          <w:rFonts w:hint="eastAsia" w:ascii="仿宋_GB2312" w:hAnsi="仿宋" w:eastAsia="仿宋_GB2312"/>
          <w:sz w:val="32"/>
          <w:szCs w:val="32"/>
          <w:highlight w:val="none"/>
          <w:lang w:val="en-US" w:eastAsia="zh-CN"/>
        </w:rPr>
        <w:t>违规用水用能</w:t>
      </w:r>
      <w:r>
        <w:rPr>
          <w:rFonts w:hint="eastAsia" w:ascii="仿宋_GB2312" w:hAnsi="仿宋" w:eastAsia="仿宋_GB2312"/>
          <w:sz w:val="32"/>
          <w:szCs w:val="32"/>
          <w:highlight w:val="none"/>
        </w:rPr>
        <w:t>而承担的相关责任</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并负责对欠费第三方用户追缴水电费</w:t>
      </w:r>
      <w:r>
        <w:rPr>
          <w:rFonts w:hint="eastAsia" w:ascii="仿宋_GB2312" w:hAnsi="仿宋" w:eastAsia="仿宋_GB2312"/>
          <w:sz w:val="32"/>
          <w:szCs w:val="32"/>
          <w:highlight w:val="none"/>
        </w:rPr>
        <w:t>。</w:t>
      </w:r>
    </w:p>
    <w:p w14:paraId="380B59BB">
      <w:pPr>
        <w:keepNext w:val="0"/>
        <w:keepLines w:val="0"/>
        <w:pageBreakBefore w:val="0"/>
        <w:widowControl w:val="0"/>
        <w:kinsoku/>
        <w:wordWrap/>
        <w:topLinePunct w:val="0"/>
        <w:autoSpaceDE/>
        <w:autoSpaceDN/>
        <w:bidi w:val="0"/>
        <w:adjustRightInd/>
        <w:snapToGrid/>
        <w:spacing w:line="600" w:lineRule="exact"/>
        <w:jc w:val="center"/>
        <w:textAlignment w:val="auto"/>
        <w:rPr>
          <w:rFonts w:ascii="黑体" w:hAnsi="黑体" w:eastAsia="黑体"/>
          <w:sz w:val="32"/>
          <w:szCs w:val="32"/>
          <w:highlight w:val="none"/>
        </w:rPr>
      </w:pPr>
      <w:r>
        <w:rPr>
          <w:rFonts w:hint="eastAsia" w:ascii="黑体" w:hAnsi="黑体" w:eastAsia="黑体"/>
          <w:sz w:val="32"/>
          <w:szCs w:val="32"/>
          <w:highlight w:val="none"/>
        </w:rPr>
        <w:t>第三章 计量</w:t>
      </w:r>
      <w:r>
        <w:rPr>
          <w:rFonts w:hint="eastAsia" w:ascii="黑体" w:hAnsi="黑体" w:eastAsia="黑体"/>
          <w:sz w:val="32"/>
          <w:szCs w:val="32"/>
          <w:highlight w:val="none"/>
          <w:lang w:val="en-US" w:eastAsia="zh-CN"/>
        </w:rPr>
        <w:t>与收费</w:t>
      </w:r>
      <w:r>
        <w:rPr>
          <w:rFonts w:hint="eastAsia" w:ascii="黑体" w:hAnsi="黑体" w:eastAsia="黑体"/>
          <w:sz w:val="32"/>
          <w:szCs w:val="32"/>
          <w:highlight w:val="none"/>
        </w:rPr>
        <w:t>管理要求</w:t>
      </w:r>
    </w:p>
    <w:p w14:paraId="156A0A1D">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ascii="仿宋_GB2312" w:eastAsia="仿宋_GB2312"/>
          <w:sz w:val="32"/>
          <w:szCs w:val="32"/>
          <w:highlight w:val="none"/>
        </w:rPr>
      </w:pPr>
      <w:r>
        <w:rPr>
          <w:rFonts w:hint="eastAsia" w:ascii="仿宋_GB2312" w:hAnsi="仿宋" w:eastAsia="仿宋_GB2312"/>
          <w:b/>
          <w:sz w:val="32"/>
          <w:szCs w:val="32"/>
          <w:highlight w:val="none"/>
        </w:rPr>
        <w:t xml:space="preserve">第七条 </w:t>
      </w:r>
      <w:r>
        <w:rPr>
          <w:rFonts w:hint="eastAsia" w:ascii="仿宋_GB2312" w:eastAsia="仿宋_GB2312"/>
          <w:sz w:val="32"/>
          <w:szCs w:val="32"/>
          <w:highlight w:val="none"/>
        </w:rPr>
        <w:t>学校</w:t>
      </w:r>
      <w:r>
        <w:rPr>
          <w:rFonts w:hint="eastAsia" w:ascii="仿宋_GB2312" w:eastAsia="仿宋_GB2312"/>
          <w:sz w:val="32"/>
          <w:szCs w:val="32"/>
          <w:highlight w:val="none"/>
          <w:lang w:val="en-US" w:eastAsia="zh-CN"/>
        </w:rPr>
        <w:t>各单位、部门</w:t>
      </w:r>
      <w:r>
        <w:rPr>
          <w:rFonts w:hint="eastAsia" w:ascii="仿宋_GB2312" w:eastAsia="仿宋_GB2312"/>
          <w:sz w:val="32"/>
          <w:szCs w:val="32"/>
          <w:highlight w:val="none"/>
        </w:rPr>
        <w:t>的</w:t>
      </w:r>
      <w:r>
        <w:rPr>
          <w:rFonts w:hint="eastAsia" w:ascii="仿宋_GB2312" w:eastAsia="仿宋_GB2312"/>
          <w:sz w:val="32"/>
          <w:szCs w:val="32"/>
          <w:highlight w:val="none"/>
          <w:lang w:val="en-US" w:eastAsia="zh-CN"/>
        </w:rPr>
        <w:t>装修、修缮、</w:t>
      </w:r>
      <w:r>
        <w:rPr>
          <w:rFonts w:hint="eastAsia" w:ascii="仿宋_GB2312" w:eastAsia="仿宋_GB2312"/>
          <w:sz w:val="32"/>
          <w:szCs w:val="32"/>
          <w:highlight w:val="none"/>
        </w:rPr>
        <w:t>改扩建</w:t>
      </w:r>
      <w:r>
        <w:rPr>
          <w:rFonts w:hint="eastAsia" w:ascii="仿宋_GB2312" w:eastAsia="仿宋_GB2312"/>
          <w:sz w:val="32"/>
          <w:szCs w:val="32"/>
          <w:highlight w:val="none"/>
          <w:lang w:val="en-US" w:eastAsia="zh-CN"/>
        </w:rPr>
        <w:t>及</w:t>
      </w:r>
      <w:r>
        <w:rPr>
          <w:rFonts w:hint="eastAsia" w:ascii="仿宋_GB2312" w:eastAsia="仿宋_GB2312"/>
          <w:sz w:val="32"/>
          <w:szCs w:val="32"/>
          <w:highlight w:val="none"/>
        </w:rPr>
        <w:t>新建工程项目，要与节水节能设施同步设计、建设。须采用先进的节水节能设施设备，禁止使用国家明令淘汰的、落后的用水用能设施设备。</w:t>
      </w:r>
    </w:p>
    <w:p w14:paraId="396159AE">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b/>
          <w:sz w:val="32"/>
          <w:szCs w:val="32"/>
          <w:highlight w:val="none"/>
        </w:rPr>
        <w:t>第八条</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用户新增</w:t>
      </w:r>
      <w:r>
        <w:rPr>
          <w:rFonts w:hint="eastAsia" w:ascii="仿宋_GB2312" w:hAnsi="仿宋" w:eastAsia="仿宋_GB2312"/>
          <w:sz w:val="32"/>
          <w:szCs w:val="32"/>
          <w:highlight w:val="none"/>
          <w:lang w:val="en-US" w:eastAsia="zh-CN"/>
        </w:rPr>
        <w:t>用水用能点位的</w:t>
      </w:r>
      <w:r>
        <w:rPr>
          <w:rFonts w:hint="eastAsia" w:ascii="仿宋_GB2312" w:hAnsi="仿宋" w:eastAsia="仿宋_GB2312"/>
          <w:sz w:val="32"/>
          <w:szCs w:val="32"/>
          <w:highlight w:val="none"/>
        </w:rPr>
        <w:t>必须</w:t>
      </w:r>
      <w:r>
        <w:rPr>
          <w:rFonts w:hint="eastAsia" w:ascii="仿宋_GB2312" w:hAnsi="仿宋" w:eastAsia="仿宋_GB2312"/>
          <w:sz w:val="32"/>
          <w:szCs w:val="32"/>
          <w:highlight w:val="none"/>
          <w:lang w:val="en-US" w:eastAsia="zh-CN"/>
        </w:rPr>
        <w:t>按要求</w:t>
      </w:r>
      <w:r>
        <w:rPr>
          <w:rFonts w:hint="eastAsia" w:ascii="仿宋_GB2312" w:hAnsi="仿宋" w:eastAsia="仿宋_GB2312"/>
          <w:sz w:val="32"/>
          <w:szCs w:val="32"/>
          <w:highlight w:val="none"/>
        </w:rPr>
        <w:t>安装计量</w:t>
      </w:r>
      <w:r>
        <w:rPr>
          <w:rFonts w:hint="eastAsia" w:ascii="仿宋_GB2312" w:hAnsi="仿宋" w:eastAsia="仿宋_GB2312"/>
          <w:sz w:val="32"/>
          <w:szCs w:val="32"/>
          <w:highlight w:val="none"/>
          <w:lang w:val="en-US" w:eastAsia="zh-CN"/>
        </w:rPr>
        <w:t>表具。</w:t>
      </w:r>
      <w:r>
        <w:rPr>
          <w:rFonts w:hint="eastAsia" w:ascii="仿宋_GB2312" w:hAnsi="仿宋" w:eastAsia="仿宋_GB2312"/>
          <w:sz w:val="32"/>
          <w:szCs w:val="32"/>
          <w:highlight w:val="none"/>
        </w:rPr>
        <w:t>由</w:t>
      </w:r>
      <w:r>
        <w:rPr>
          <w:rFonts w:hint="eastAsia" w:ascii="仿宋_GB2312" w:hAnsi="仿宋" w:eastAsia="仿宋_GB2312"/>
          <w:sz w:val="32"/>
          <w:szCs w:val="32"/>
          <w:highlight w:val="none"/>
          <w:lang w:val="en-US" w:eastAsia="zh-CN"/>
        </w:rPr>
        <w:t>引进方</w:t>
      </w:r>
      <w:r>
        <w:rPr>
          <w:rFonts w:hint="eastAsia" w:ascii="仿宋_GB2312" w:hAnsi="仿宋" w:eastAsia="仿宋_GB2312"/>
          <w:sz w:val="32"/>
          <w:szCs w:val="32"/>
          <w:highlight w:val="none"/>
        </w:rPr>
        <w:t>到能源办办理</w:t>
      </w:r>
      <w:r>
        <w:rPr>
          <w:rFonts w:hint="eastAsia" w:ascii="仿宋_GB2312" w:hAnsi="仿宋" w:eastAsia="仿宋_GB2312"/>
          <w:sz w:val="32"/>
          <w:szCs w:val="32"/>
          <w:highlight w:val="none"/>
          <w:lang w:val="en-US" w:eastAsia="zh-CN"/>
        </w:rPr>
        <w:t>上海对外经贸大学新增用水用能申请</w:t>
      </w:r>
      <w:r>
        <w:rPr>
          <w:rFonts w:hint="eastAsia" w:ascii="仿宋_GB2312" w:hAnsi="仿宋" w:eastAsia="仿宋_GB2312"/>
          <w:sz w:val="32"/>
          <w:szCs w:val="32"/>
          <w:highlight w:val="none"/>
        </w:rPr>
        <w:t>手续。经批准后，由</w:t>
      </w:r>
      <w:r>
        <w:rPr>
          <w:rFonts w:hint="eastAsia" w:ascii="仿宋_GB2312" w:hAnsi="仿宋" w:eastAsia="仿宋_GB2312"/>
          <w:sz w:val="32"/>
          <w:szCs w:val="32"/>
          <w:highlight w:val="none"/>
          <w:lang w:val="en-US" w:eastAsia="zh-CN"/>
        </w:rPr>
        <w:t>引进方</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w:t>
      </w:r>
      <w:r>
        <w:rPr>
          <w:rFonts w:hint="eastAsia" w:ascii="仿宋_GB2312" w:hAnsi="仿宋" w:eastAsia="仿宋_GB2312"/>
          <w:sz w:val="32"/>
          <w:szCs w:val="32"/>
          <w:highlight w:val="none"/>
          <w:lang w:val="en-US" w:eastAsia="zh-CN"/>
        </w:rPr>
        <w:t>共同</w:t>
      </w:r>
      <w:r>
        <w:rPr>
          <w:rFonts w:hint="eastAsia" w:ascii="仿宋_GB2312" w:hAnsi="仿宋" w:eastAsia="仿宋_GB2312"/>
          <w:sz w:val="32"/>
          <w:szCs w:val="32"/>
          <w:highlight w:val="none"/>
        </w:rPr>
        <w:t>签署</w:t>
      </w:r>
      <w:r>
        <w:rPr>
          <w:rFonts w:hint="eastAsia" w:ascii="仿宋_GB2312" w:hAnsi="仿宋" w:eastAsia="仿宋_GB2312"/>
          <w:sz w:val="32"/>
          <w:szCs w:val="32"/>
          <w:highlight w:val="none"/>
          <w:lang w:val="en-US" w:eastAsia="zh-CN"/>
        </w:rPr>
        <w:t>《上海对外经贸大学第三方用户用水用能责任书》（以下简称《责任书》）交能源办备案。所有在校第三方用户</w:t>
      </w:r>
      <w:r>
        <w:rPr>
          <w:rFonts w:hint="eastAsia" w:ascii="仿宋_GB2312" w:eastAsia="仿宋_GB2312"/>
          <w:sz w:val="32"/>
          <w:szCs w:val="32"/>
          <w:highlight w:val="none"/>
        </w:rPr>
        <w:t>使用学校</w:t>
      </w:r>
      <w:r>
        <w:rPr>
          <w:rFonts w:hint="eastAsia" w:ascii="仿宋_GB2312" w:hAnsi="宋体" w:eastAsia="仿宋_GB2312" w:cs="Arial"/>
          <w:sz w:val="32"/>
          <w:szCs w:val="32"/>
          <w:highlight w:val="none"/>
        </w:rPr>
        <w:t>水资源和</w:t>
      </w:r>
      <w:r>
        <w:rPr>
          <w:rFonts w:hint="eastAsia" w:ascii="仿宋_GB2312" w:eastAsia="仿宋_GB2312"/>
          <w:sz w:val="32"/>
          <w:szCs w:val="32"/>
          <w:highlight w:val="none"/>
        </w:rPr>
        <w:t>能源的，应当在</w:t>
      </w:r>
      <w:r>
        <w:rPr>
          <w:rFonts w:hint="eastAsia" w:ascii="仿宋_GB2312" w:eastAsia="仿宋_GB2312"/>
          <w:sz w:val="32"/>
          <w:szCs w:val="32"/>
          <w:highlight w:val="none"/>
          <w:lang w:val="en-US" w:eastAsia="zh-CN"/>
        </w:rPr>
        <w:t>入场前或</w:t>
      </w:r>
      <w:r>
        <w:rPr>
          <w:rFonts w:hint="eastAsia" w:ascii="仿宋_GB2312" w:eastAsia="仿宋_GB2312"/>
          <w:sz w:val="32"/>
          <w:szCs w:val="32"/>
          <w:highlight w:val="none"/>
        </w:rPr>
        <w:t>开工前</w:t>
      </w:r>
      <w:r>
        <w:rPr>
          <w:rFonts w:hint="eastAsia" w:ascii="仿宋_GB2312" w:eastAsia="仿宋_GB2312"/>
          <w:sz w:val="32"/>
          <w:szCs w:val="32"/>
          <w:highlight w:val="none"/>
          <w:lang w:val="en-US" w:eastAsia="zh-CN"/>
        </w:rPr>
        <w:t>完成以上手续办理及</w:t>
      </w:r>
      <w:r>
        <w:rPr>
          <w:rFonts w:hint="eastAsia" w:ascii="仿宋_GB2312" w:hAnsi="仿宋" w:eastAsia="仿宋_GB2312"/>
          <w:sz w:val="32"/>
          <w:szCs w:val="32"/>
          <w:highlight w:val="none"/>
          <w:lang w:val="en-US" w:eastAsia="zh-CN"/>
        </w:rPr>
        <w:t>《责任书》的</w:t>
      </w:r>
      <w:r>
        <w:rPr>
          <w:rFonts w:hint="eastAsia" w:ascii="仿宋_GB2312" w:eastAsia="仿宋_GB2312"/>
          <w:sz w:val="32"/>
          <w:szCs w:val="32"/>
          <w:highlight w:val="none"/>
          <w:lang w:val="en-US" w:eastAsia="zh-CN"/>
        </w:rPr>
        <w:t>签订及备案工作（无法独立开展水电计量的工程项目除外），同时应确保计量器具安装到位。对于新建工程需新增关口表且关口表用于新建工程项目施工用水用电计量的，在工程施工期间，由引进方承担新增关口表的全过程管理，由第三方用户承担新建工程期间对应关口表的按时缴费职责。第三方用户撤场后，由引进方将新增关口表的管理工作正式移交能源办。对于无法独立开展水电计量的工程项目，经引进方确认无法加装计量表具的，引进方应</w:t>
      </w:r>
      <w:r>
        <w:rPr>
          <w:rFonts w:hint="eastAsia" w:ascii="仿宋_GB2312" w:hAnsi="仿宋" w:eastAsia="仿宋_GB2312"/>
          <w:sz w:val="32"/>
          <w:szCs w:val="32"/>
          <w:highlight w:val="none"/>
          <w:lang w:val="en-US" w:eastAsia="zh-CN"/>
        </w:rPr>
        <w:t xml:space="preserve">按照合同约定的水电费缴纳比例计取水电费，并在监督第三方用户结清水电费之后，方可支付项目尾款。 </w:t>
      </w:r>
    </w:p>
    <w:p w14:paraId="28219B46">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ascii="仿宋_GB2312" w:hAnsi="仿宋" w:eastAsia="仿宋_GB2312"/>
          <w:sz w:val="36"/>
          <w:szCs w:val="36"/>
          <w:highlight w:val="none"/>
        </w:rPr>
      </w:pPr>
      <w:r>
        <w:rPr>
          <w:rFonts w:hint="eastAsia" w:ascii="仿宋_GB2312" w:eastAsia="仿宋_GB2312"/>
          <w:b/>
          <w:sz w:val="32"/>
          <w:szCs w:val="32"/>
          <w:highlight w:val="none"/>
        </w:rPr>
        <w:t>第九条</w:t>
      </w:r>
      <w:r>
        <w:rPr>
          <w:rFonts w:hint="eastAsia" w:ascii="仿宋_GB2312" w:eastAsia="仿宋_GB2312"/>
          <w:sz w:val="32"/>
          <w:szCs w:val="32"/>
          <w:highlight w:val="none"/>
        </w:rPr>
        <w:t xml:space="preserve"> 计量</w:t>
      </w:r>
      <w:r>
        <w:rPr>
          <w:rFonts w:hint="eastAsia" w:ascii="仿宋_GB2312" w:eastAsia="仿宋_GB2312"/>
          <w:sz w:val="32"/>
          <w:szCs w:val="32"/>
          <w:highlight w:val="none"/>
          <w:lang w:val="en-US" w:eastAsia="zh-CN"/>
        </w:rPr>
        <w:t>表具安装</w:t>
      </w:r>
      <w:r>
        <w:rPr>
          <w:rFonts w:hint="eastAsia" w:ascii="仿宋_GB2312" w:eastAsia="仿宋_GB2312"/>
          <w:sz w:val="32"/>
          <w:szCs w:val="32"/>
          <w:highlight w:val="none"/>
        </w:rPr>
        <w:t>须分类到户，</w:t>
      </w:r>
      <w:r>
        <w:rPr>
          <w:rFonts w:hint="eastAsia" w:ascii="仿宋_GB2312" w:eastAsia="仿宋_GB2312"/>
          <w:sz w:val="32"/>
          <w:szCs w:val="32"/>
          <w:highlight w:val="none"/>
          <w:lang w:val="en-US" w:eastAsia="zh-CN"/>
        </w:rPr>
        <w:t>表具</w:t>
      </w:r>
      <w:r>
        <w:rPr>
          <w:rFonts w:hint="eastAsia" w:ascii="仿宋_GB2312" w:eastAsia="仿宋_GB2312"/>
          <w:sz w:val="32"/>
          <w:szCs w:val="32"/>
          <w:highlight w:val="none"/>
        </w:rPr>
        <w:t>安装</w:t>
      </w:r>
      <w:r>
        <w:rPr>
          <w:rFonts w:hint="eastAsia" w:ascii="仿宋_GB2312" w:eastAsia="仿宋_GB2312"/>
          <w:sz w:val="32"/>
          <w:szCs w:val="32"/>
          <w:highlight w:val="none"/>
          <w:lang w:val="en-US" w:eastAsia="zh-CN"/>
        </w:rPr>
        <w:t>位置</w:t>
      </w:r>
      <w:r>
        <w:rPr>
          <w:rFonts w:hint="eastAsia" w:ascii="仿宋_GB2312" w:eastAsia="仿宋_GB2312"/>
          <w:sz w:val="32"/>
          <w:szCs w:val="32"/>
          <w:highlight w:val="none"/>
        </w:rPr>
        <w:t>要便于检查和更换，用水区域要加装阀门，方便检修。</w:t>
      </w:r>
      <w:r>
        <w:rPr>
          <w:rFonts w:hint="eastAsia" w:ascii="仿宋_GB2312" w:hAnsi="仿宋" w:eastAsia="仿宋_GB2312"/>
          <w:sz w:val="32"/>
          <w:szCs w:val="32"/>
          <w:highlight w:val="none"/>
        </w:rPr>
        <w:t>学校物业协助提供供水供电接入点，</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用户自行负责用水用电等设施</w:t>
      </w:r>
      <w:r>
        <w:rPr>
          <w:rFonts w:hint="eastAsia" w:ascii="仿宋_GB2312" w:hAnsi="仿宋" w:eastAsia="仿宋_GB2312"/>
          <w:sz w:val="32"/>
          <w:szCs w:val="32"/>
          <w:highlight w:val="none"/>
          <w:lang w:val="en-US" w:eastAsia="zh-CN"/>
        </w:rPr>
        <w:t>的</w:t>
      </w:r>
      <w:r>
        <w:rPr>
          <w:rFonts w:hint="eastAsia" w:ascii="仿宋_GB2312" w:hAnsi="仿宋" w:eastAsia="仿宋_GB2312"/>
          <w:sz w:val="32"/>
          <w:szCs w:val="32"/>
          <w:highlight w:val="none"/>
        </w:rPr>
        <w:t>线路敷设及配电柜的安装与建设，</w:t>
      </w:r>
      <w:r>
        <w:rPr>
          <w:rFonts w:hint="eastAsia" w:ascii="仿宋_GB2312" w:hAnsi="仿宋" w:eastAsia="仿宋_GB2312"/>
          <w:sz w:val="32"/>
          <w:szCs w:val="32"/>
          <w:highlight w:val="none"/>
          <w:lang w:val="en-US" w:eastAsia="zh-CN"/>
        </w:rPr>
        <w:t>并按照能源办指定的表具品牌、型号加装</w:t>
      </w:r>
      <w:r>
        <w:rPr>
          <w:rFonts w:hint="eastAsia" w:ascii="仿宋_GB2312" w:hAnsi="仿宋" w:eastAsia="仿宋_GB2312"/>
          <w:sz w:val="32"/>
          <w:szCs w:val="32"/>
          <w:highlight w:val="none"/>
        </w:rPr>
        <w:t>计量</w:t>
      </w:r>
      <w:r>
        <w:rPr>
          <w:rFonts w:hint="eastAsia" w:ascii="仿宋_GB2312" w:hAnsi="仿宋" w:eastAsia="仿宋_GB2312"/>
          <w:sz w:val="32"/>
          <w:szCs w:val="32"/>
          <w:highlight w:val="none"/>
          <w:lang w:val="en-US" w:eastAsia="zh-CN"/>
        </w:rPr>
        <w:t>表具</w:t>
      </w:r>
      <w:r>
        <w:rPr>
          <w:rFonts w:hint="eastAsia" w:ascii="仿宋_GB2312" w:hAnsi="仿宋" w:eastAsia="仿宋_GB2312"/>
          <w:sz w:val="32"/>
          <w:szCs w:val="32"/>
          <w:highlight w:val="none"/>
        </w:rPr>
        <w:t>。</w:t>
      </w:r>
    </w:p>
    <w:p w14:paraId="5DE0D263">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ascii="仿宋_GB2312" w:hAnsi="仿宋" w:eastAsia="仿宋_GB2312"/>
          <w:sz w:val="32"/>
          <w:szCs w:val="32"/>
          <w:highlight w:val="none"/>
        </w:rPr>
      </w:pPr>
      <w:r>
        <w:rPr>
          <w:rFonts w:hint="eastAsia" w:ascii="仿宋_GB2312" w:hAnsi="仿宋" w:eastAsia="仿宋_GB2312"/>
          <w:b/>
          <w:sz w:val="32"/>
          <w:szCs w:val="32"/>
          <w:highlight w:val="none"/>
        </w:rPr>
        <w:t xml:space="preserve">第十条 </w:t>
      </w:r>
      <w:r>
        <w:rPr>
          <w:rFonts w:hint="eastAsia" w:ascii="仿宋_GB2312" w:eastAsia="仿宋_GB2312"/>
          <w:sz w:val="32"/>
          <w:szCs w:val="32"/>
          <w:highlight w:val="none"/>
          <w:lang w:val="en-US" w:eastAsia="zh-CN"/>
        </w:rPr>
        <w:t>所有第三方用户计量表具原则上均应使用智能计量表具，且可接入学校智慧能源系统，</w:t>
      </w:r>
      <w:r>
        <w:rPr>
          <w:rFonts w:hint="eastAsia" w:ascii="仿宋_GB2312" w:eastAsia="仿宋_GB2312"/>
          <w:sz w:val="32"/>
          <w:szCs w:val="32"/>
          <w:highlight w:val="none"/>
        </w:rPr>
        <w:t>能源</w:t>
      </w:r>
      <w:r>
        <w:rPr>
          <w:rFonts w:hint="eastAsia" w:ascii="仿宋_GB2312" w:hAnsi="仿宋" w:eastAsia="仿宋_GB2312"/>
          <w:sz w:val="32"/>
          <w:szCs w:val="32"/>
          <w:highlight w:val="none"/>
        </w:rPr>
        <w:t>办</w:t>
      </w:r>
      <w:r>
        <w:rPr>
          <w:rFonts w:hint="eastAsia" w:ascii="仿宋_GB2312" w:hAnsi="仿宋" w:eastAsia="仿宋_GB2312"/>
          <w:sz w:val="32"/>
          <w:szCs w:val="32"/>
          <w:highlight w:val="none"/>
          <w:lang w:val="en-US" w:eastAsia="zh-CN"/>
        </w:rPr>
        <w:t>依托智慧能源系统进行远程抄表计量及收费工作。对于确因现场条件不足无法更换智能计量表具或临时用水用能的点位，经能源办确认后可使用传统计量表具，由能源办</w:t>
      </w:r>
      <w:r>
        <w:rPr>
          <w:rFonts w:hint="eastAsia" w:ascii="仿宋_GB2312" w:hAnsi="仿宋" w:eastAsia="仿宋_GB2312"/>
          <w:sz w:val="32"/>
          <w:szCs w:val="32"/>
          <w:highlight w:val="none"/>
        </w:rPr>
        <w:t>委托学校物业工作人员进行定期计量抄表、检查，</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用户应积极配合、协助计量工作人员抄表</w:t>
      </w:r>
      <w:r>
        <w:rPr>
          <w:rFonts w:hint="eastAsia" w:ascii="仿宋_GB2312" w:hAnsi="仿宋" w:eastAsia="仿宋_GB2312"/>
          <w:sz w:val="32"/>
          <w:szCs w:val="32"/>
          <w:highlight w:val="none"/>
          <w:lang w:val="en-US" w:eastAsia="zh-CN"/>
        </w:rPr>
        <w:t>并对抄表</w:t>
      </w:r>
      <w:r>
        <w:rPr>
          <w:rFonts w:hint="eastAsia" w:ascii="仿宋_GB2312" w:hAnsi="仿宋" w:eastAsia="仿宋_GB2312"/>
          <w:sz w:val="32"/>
          <w:szCs w:val="32"/>
          <w:highlight w:val="none"/>
        </w:rPr>
        <w:t>数据</w:t>
      </w:r>
      <w:r>
        <w:rPr>
          <w:rFonts w:hint="eastAsia" w:ascii="仿宋_GB2312" w:hAnsi="仿宋" w:eastAsia="仿宋_GB2312"/>
          <w:sz w:val="32"/>
          <w:szCs w:val="32"/>
          <w:highlight w:val="none"/>
          <w:lang w:val="en-US" w:eastAsia="zh-CN"/>
        </w:rPr>
        <w:t>进行现场确认</w:t>
      </w:r>
      <w:r>
        <w:rPr>
          <w:rFonts w:hint="eastAsia" w:ascii="仿宋_GB2312" w:hAnsi="仿宋" w:eastAsia="仿宋_GB2312"/>
          <w:sz w:val="32"/>
          <w:szCs w:val="32"/>
          <w:highlight w:val="none"/>
        </w:rPr>
        <w:t>，为其履行职责提供方便。</w:t>
      </w:r>
    </w:p>
    <w:p w14:paraId="5C2AA373">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hint="default" w:ascii="仿宋_GB2312" w:hAnsi="仿宋" w:eastAsia="仿宋_GB2312"/>
          <w:sz w:val="32"/>
          <w:szCs w:val="32"/>
          <w:highlight w:val="none"/>
          <w:lang w:val="en-US" w:eastAsia="zh-CN"/>
        </w:rPr>
      </w:pPr>
      <w:r>
        <w:rPr>
          <w:rFonts w:hint="eastAsia" w:ascii="仿宋_GB2312" w:hAnsi="仿宋" w:eastAsia="仿宋_GB2312"/>
          <w:b/>
          <w:sz w:val="32"/>
          <w:szCs w:val="32"/>
          <w:highlight w:val="none"/>
        </w:rPr>
        <w:t>第十</w:t>
      </w:r>
      <w:r>
        <w:rPr>
          <w:rFonts w:hint="eastAsia" w:ascii="仿宋_GB2312" w:hAnsi="仿宋" w:eastAsia="仿宋_GB2312"/>
          <w:b/>
          <w:sz w:val="32"/>
          <w:szCs w:val="32"/>
          <w:highlight w:val="none"/>
          <w:lang w:val="en-US" w:eastAsia="zh-CN"/>
        </w:rPr>
        <w:t>一</w:t>
      </w:r>
      <w:r>
        <w:rPr>
          <w:rFonts w:hint="eastAsia" w:ascii="仿宋_GB2312" w:hAnsi="仿宋" w:eastAsia="仿宋_GB2312"/>
          <w:b/>
          <w:sz w:val="32"/>
          <w:szCs w:val="32"/>
          <w:highlight w:val="none"/>
        </w:rPr>
        <w:t xml:space="preserve">条 </w:t>
      </w:r>
      <w:r>
        <w:rPr>
          <w:rFonts w:hint="eastAsia" w:ascii="仿宋_GB2312" w:hAnsi="仿宋" w:eastAsia="仿宋_GB2312"/>
          <w:sz w:val="32"/>
          <w:szCs w:val="32"/>
          <w:highlight w:val="none"/>
          <w:lang w:val="en-US" w:eastAsia="zh-CN"/>
        </w:rPr>
        <w:t>引进方须在《上海对外经贸大学第三方用户用水用能责任书》中为第三方用户明确缴费方式、缴费单价及缴费周期，缴费方式有预付费和后付费两种选项，预付费第三方用户可直接在学校智慧能源系统中通过微信支付完成水电气费用充值。对于欠费用户，系统将自动执行断电措施。后付费第三方用户应按照约定的缴费周期在次月15日前根据系统欠费数据完成上周期内用水用能缴费。</w:t>
      </w:r>
    </w:p>
    <w:p w14:paraId="089FC433">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ascii="仿宋_GB2312" w:hAnsi="仿宋" w:eastAsia="仿宋_GB2312"/>
          <w:sz w:val="32"/>
          <w:szCs w:val="32"/>
          <w:highlight w:val="none"/>
        </w:rPr>
      </w:pPr>
      <w:r>
        <w:rPr>
          <w:rFonts w:hint="eastAsia" w:ascii="仿宋_GB2312" w:hAnsi="仿宋" w:eastAsia="仿宋_GB2312"/>
          <w:b/>
          <w:sz w:val="32"/>
          <w:szCs w:val="32"/>
          <w:highlight w:val="none"/>
        </w:rPr>
        <w:t>第十</w:t>
      </w:r>
      <w:r>
        <w:rPr>
          <w:rFonts w:hint="eastAsia" w:ascii="仿宋_GB2312" w:hAnsi="仿宋" w:eastAsia="仿宋_GB2312"/>
          <w:b/>
          <w:sz w:val="32"/>
          <w:szCs w:val="32"/>
          <w:highlight w:val="none"/>
          <w:lang w:val="en-US" w:eastAsia="zh-CN"/>
        </w:rPr>
        <w:t>二</w:t>
      </w:r>
      <w:r>
        <w:rPr>
          <w:rFonts w:hint="eastAsia" w:ascii="仿宋_GB2312" w:hAnsi="仿宋" w:eastAsia="仿宋_GB2312"/>
          <w:b/>
          <w:sz w:val="32"/>
          <w:szCs w:val="32"/>
          <w:highlight w:val="none"/>
        </w:rPr>
        <w:t>条</w:t>
      </w:r>
      <w:r>
        <w:rPr>
          <w:rFonts w:hint="eastAsia" w:ascii="仿宋_GB2312" w:hAnsi="仿宋" w:eastAsia="仿宋_GB2312"/>
          <w:b/>
          <w:sz w:val="32"/>
          <w:szCs w:val="32"/>
          <w:highlight w:val="none"/>
          <w:lang w:val="en-US" w:eastAsia="zh-CN"/>
        </w:rPr>
        <w:t xml:space="preserve"> </w:t>
      </w:r>
      <w:r>
        <w:rPr>
          <w:rFonts w:hint="eastAsia" w:ascii="仿宋_GB2312" w:hAnsi="仿宋" w:eastAsia="仿宋_GB2312"/>
          <w:sz w:val="32"/>
          <w:szCs w:val="32"/>
          <w:highlight w:val="none"/>
          <w:lang w:val="en-US" w:eastAsia="zh-CN"/>
        </w:rPr>
        <w:t>引进方原则上应优先为第三方用户选用预付费模式。对于必须选择后付费模式的第三方用户，引进方应当在签署合同时酌情考虑根据使用设备功率及用水量收取第三方用户至少三个月的水电费作为水电保证金（履约终止后，若不存在水电欠费情形，则全额退还；反之，则据实扣除。）或约定对于水电费欠费的第三方用户收取不超过日万分之五的滞纳金，以约束第三方用户按时缴费。对于经多次催缴仍拒绝缴纳水电费的第三方用户，经引进方提交书面申请，能源办可采取断电措施。</w:t>
      </w:r>
    </w:p>
    <w:p w14:paraId="3C424F41">
      <w:pPr>
        <w:keepNext w:val="0"/>
        <w:keepLines w:val="0"/>
        <w:pageBreakBefore w:val="0"/>
        <w:widowControl w:val="0"/>
        <w:kinsoku/>
        <w:wordWrap/>
        <w:topLinePunct w:val="0"/>
        <w:autoSpaceDE/>
        <w:autoSpaceDN/>
        <w:bidi w:val="0"/>
        <w:adjustRightInd/>
        <w:snapToGrid/>
        <w:spacing w:line="600" w:lineRule="exact"/>
        <w:ind w:firstLine="640" w:firstLineChars="200"/>
        <w:jc w:val="center"/>
        <w:textAlignment w:val="auto"/>
        <w:rPr>
          <w:rFonts w:ascii="黑体" w:hAnsi="黑体" w:eastAsia="黑体"/>
          <w:sz w:val="32"/>
          <w:szCs w:val="32"/>
          <w:highlight w:val="none"/>
        </w:rPr>
      </w:pPr>
      <w:r>
        <w:rPr>
          <w:rFonts w:hint="eastAsia" w:ascii="黑体" w:hAnsi="黑体" w:eastAsia="黑体"/>
          <w:sz w:val="32"/>
          <w:szCs w:val="32"/>
          <w:highlight w:val="none"/>
        </w:rPr>
        <w:t>第</w:t>
      </w:r>
      <w:r>
        <w:rPr>
          <w:rFonts w:hint="eastAsia" w:ascii="黑体" w:hAnsi="黑体" w:eastAsia="黑体"/>
          <w:sz w:val="32"/>
          <w:szCs w:val="32"/>
          <w:highlight w:val="none"/>
          <w:lang w:val="en-US" w:eastAsia="zh-CN"/>
        </w:rPr>
        <w:t>四</w:t>
      </w:r>
      <w:r>
        <w:rPr>
          <w:rFonts w:hint="eastAsia" w:ascii="黑体" w:hAnsi="黑体" w:eastAsia="黑体"/>
          <w:sz w:val="32"/>
          <w:szCs w:val="32"/>
          <w:highlight w:val="none"/>
        </w:rPr>
        <w:t>章 日常管理要求</w:t>
      </w:r>
    </w:p>
    <w:p w14:paraId="10F1A30B">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ascii="仿宋_GB2312" w:hAnsi="仿宋" w:eastAsia="仿宋_GB2312"/>
          <w:sz w:val="32"/>
          <w:szCs w:val="32"/>
          <w:highlight w:val="none"/>
        </w:rPr>
      </w:pPr>
      <w:r>
        <w:rPr>
          <w:rFonts w:hint="eastAsia" w:ascii="仿宋_GB2312" w:hAnsi="仿宋" w:eastAsia="仿宋_GB2312"/>
          <w:b/>
          <w:sz w:val="32"/>
          <w:szCs w:val="32"/>
          <w:highlight w:val="none"/>
        </w:rPr>
        <w:t>第十</w:t>
      </w:r>
      <w:r>
        <w:rPr>
          <w:rFonts w:hint="eastAsia" w:ascii="仿宋_GB2312" w:hAnsi="仿宋" w:eastAsia="仿宋_GB2312"/>
          <w:b/>
          <w:sz w:val="32"/>
          <w:szCs w:val="32"/>
          <w:highlight w:val="none"/>
          <w:lang w:val="en-US" w:eastAsia="zh-CN"/>
        </w:rPr>
        <w:t>三</w:t>
      </w:r>
      <w:r>
        <w:rPr>
          <w:rFonts w:hint="eastAsia" w:ascii="仿宋_GB2312" w:hAnsi="仿宋" w:eastAsia="仿宋_GB2312"/>
          <w:b/>
          <w:sz w:val="32"/>
          <w:szCs w:val="32"/>
          <w:highlight w:val="none"/>
        </w:rPr>
        <w:t xml:space="preserve">条 </w:t>
      </w:r>
      <w:r>
        <w:rPr>
          <w:rFonts w:hint="eastAsia" w:ascii="仿宋_GB2312" w:hAnsi="仿宋" w:eastAsia="仿宋_GB2312"/>
          <w:sz w:val="32"/>
          <w:szCs w:val="32"/>
          <w:highlight w:val="none"/>
        </w:rPr>
        <w:t>各</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用户须自觉遵守服从学校能源运行的统一调度。</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用户须主动保护能源设施，做好其管辖范围内的供水、供能设备的日常维护保养，不准擅自改装、迁移、拆除水电</w:t>
      </w:r>
      <w:r>
        <w:rPr>
          <w:rFonts w:hint="eastAsia" w:ascii="仿宋_GB2312" w:hAnsi="仿宋" w:eastAsia="仿宋_GB2312"/>
          <w:sz w:val="32"/>
          <w:szCs w:val="32"/>
          <w:highlight w:val="none"/>
          <w:lang w:val="en-US" w:eastAsia="zh-CN"/>
        </w:rPr>
        <w:t>气</w:t>
      </w:r>
      <w:r>
        <w:rPr>
          <w:rFonts w:hint="eastAsia" w:ascii="仿宋_GB2312" w:hAnsi="仿宋" w:eastAsia="仿宋_GB2312"/>
          <w:sz w:val="32"/>
          <w:szCs w:val="32"/>
          <w:highlight w:val="none"/>
        </w:rPr>
        <w:t>设施及计量器具，</w:t>
      </w:r>
      <w:r>
        <w:rPr>
          <w:rFonts w:hint="eastAsia" w:ascii="仿宋_GB2312" w:eastAsia="仿宋_GB2312"/>
          <w:sz w:val="32"/>
          <w:szCs w:val="32"/>
          <w:highlight w:val="none"/>
        </w:rPr>
        <w:t>发现遗失、变动、损坏等情况，应及时</w:t>
      </w:r>
      <w:r>
        <w:rPr>
          <w:rFonts w:hint="eastAsia" w:ascii="仿宋_GB2312" w:eastAsia="仿宋_GB2312"/>
          <w:sz w:val="32"/>
          <w:szCs w:val="32"/>
          <w:highlight w:val="none"/>
          <w:lang w:val="en-US" w:eastAsia="zh-CN"/>
        </w:rPr>
        <w:t>上报</w:t>
      </w:r>
      <w:r>
        <w:rPr>
          <w:rFonts w:hint="eastAsia" w:ascii="仿宋_GB2312" w:eastAsia="仿宋_GB2312"/>
          <w:sz w:val="32"/>
          <w:szCs w:val="32"/>
          <w:highlight w:val="none"/>
        </w:rPr>
        <w:t>能源办。在装饰和装修中不得妨碍以后的抄表、维护与更换。工程</w:t>
      </w:r>
      <w:r>
        <w:rPr>
          <w:rFonts w:hint="eastAsia" w:ascii="仿宋_GB2312" w:eastAsia="仿宋_GB2312"/>
          <w:sz w:val="32"/>
          <w:szCs w:val="32"/>
          <w:highlight w:val="none"/>
          <w:lang w:val="en-US" w:eastAsia="zh-CN"/>
        </w:rPr>
        <w:t>项目的</w:t>
      </w:r>
      <w:r>
        <w:rPr>
          <w:rFonts w:hint="eastAsia" w:ascii="仿宋_GB2312" w:eastAsia="仿宋_GB2312"/>
          <w:sz w:val="32"/>
          <w:szCs w:val="32"/>
          <w:highlight w:val="none"/>
        </w:rPr>
        <w:t>临时用水用能</w:t>
      </w:r>
      <w:r>
        <w:rPr>
          <w:rFonts w:hint="eastAsia" w:ascii="仿宋_GB2312" w:hAnsi="仿宋" w:eastAsia="仿宋_GB2312"/>
          <w:sz w:val="32"/>
          <w:szCs w:val="32"/>
          <w:highlight w:val="none"/>
        </w:rPr>
        <w:t>结束后，需付清全部水电费，拆除临时供水、供电装置。</w:t>
      </w:r>
    </w:p>
    <w:p w14:paraId="588BB7CF">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hint="eastAsia" w:ascii="仿宋_GB2312" w:hAnsi="仿宋" w:eastAsia="仿宋_GB2312"/>
          <w:sz w:val="32"/>
          <w:szCs w:val="32"/>
          <w:highlight w:val="none"/>
        </w:rPr>
      </w:pPr>
      <w:r>
        <w:rPr>
          <w:rFonts w:hint="eastAsia" w:ascii="仿宋_GB2312" w:hAnsi="仿宋" w:eastAsia="仿宋_GB2312"/>
          <w:b/>
          <w:sz w:val="32"/>
          <w:szCs w:val="32"/>
          <w:highlight w:val="none"/>
        </w:rPr>
        <w:t>第十</w:t>
      </w:r>
      <w:r>
        <w:rPr>
          <w:rFonts w:hint="eastAsia" w:ascii="仿宋_GB2312" w:hAnsi="仿宋" w:eastAsia="仿宋_GB2312"/>
          <w:b/>
          <w:sz w:val="32"/>
          <w:szCs w:val="32"/>
          <w:highlight w:val="none"/>
          <w:lang w:val="en-US" w:eastAsia="zh-CN"/>
        </w:rPr>
        <w:t>四</w:t>
      </w:r>
      <w:r>
        <w:rPr>
          <w:rFonts w:hint="eastAsia" w:ascii="仿宋_GB2312" w:hAnsi="仿宋" w:eastAsia="仿宋_GB2312"/>
          <w:b/>
          <w:sz w:val="32"/>
          <w:szCs w:val="32"/>
          <w:highlight w:val="none"/>
        </w:rPr>
        <w:t>条</w:t>
      </w:r>
      <w:r>
        <w:rPr>
          <w:rFonts w:hint="eastAsia" w:ascii="仿宋_GB2312" w:hAnsi="仿宋" w:eastAsia="仿宋_GB2312"/>
          <w:b/>
          <w:sz w:val="32"/>
          <w:szCs w:val="32"/>
          <w:highlight w:val="none"/>
          <w:lang w:val="en-US" w:eastAsia="zh-CN"/>
        </w:rPr>
        <w:t xml:space="preserve"> </w:t>
      </w:r>
      <w:r>
        <w:rPr>
          <w:rFonts w:hint="eastAsia" w:ascii="仿宋_GB2312" w:eastAsia="仿宋_GB2312"/>
          <w:sz w:val="32"/>
          <w:szCs w:val="32"/>
          <w:highlight w:val="none"/>
          <w:lang w:val="en-US" w:eastAsia="zh-CN"/>
        </w:rPr>
        <w:t>第三方用户不得擅自转供水电等能源给其他单位或与其共用，不得影响其他用户的正常用水用能。</w:t>
      </w:r>
    </w:p>
    <w:p w14:paraId="37090723">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ascii="黑体" w:hAnsi="黑体" w:eastAsia="黑体"/>
          <w:sz w:val="32"/>
          <w:szCs w:val="32"/>
          <w:highlight w:val="none"/>
        </w:rPr>
      </w:pPr>
      <w:r>
        <w:rPr>
          <w:rFonts w:hint="eastAsia" w:ascii="仿宋_GB2312" w:hAnsi="仿宋" w:eastAsia="仿宋_GB2312"/>
          <w:b/>
          <w:sz w:val="32"/>
          <w:szCs w:val="32"/>
          <w:highlight w:val="none"/>
        </w:rPr>
        <w:t>第十</w:t>
      </w:r>
      <w:r>
        <w:rPr>
          <w:rFonts w:hint="eastAsia" w:ascii="仿宋_GB2312" w:hAnsi="仿宋" w:eastAsia="仿宋_GB2312"/>
          <w:b/>
          <w:sz w:val="32"/>
          <w:szCs w:val="32"/>
          <w:highlight w:val="none"/>
          <w:lang w:val="en-US" w:eastAsia="zh-CN"/>
        </w:rPr>
        <w:t>五</w:t>
      </w:r>
      <w:r>
        <w:rPr>
          <w:rFonts w:hint="eastAsia" w:ascii="仿宋_GB2312" w:hAnsi="仿宋" w:eastAsia="仿宋_GB2312"/>
          <w:b/>
          <w:sz w:val="32"/>
          <w:szCs w:val="32"/>
          <w:highlight w:val="none"/>
        </w:rPr>
        <w:t xml:space="preserve">条 </w:t>
      </w:r>
      <w:r>
        <w:rPr>
          <w:rFonts w:hint="eastAsia" w:ascii="仿宋_GB2312" w:hAnsi="仿宋" w:eastAsia="仿宋_GB2312"/>
          <w:sz w:val="32"/>
          <w:szCs w:val="32"/>
          <w:highlight w:val="none"/>
        </w:rPr>
        <w:t>各</w:t>
      </w: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用户须制订节约用水用能规章制度，服从学校用水用能相关管理制度和规定。</w:t>
      </w:r>
    </w:p>
    <w:p w14:paraId="6ADB5686">
      <w:pPr>
        <w:keepNext w:val="0"/>
        <w:keepLines w:val="0"/>
        <w:pageBreakBefore w:val="0"/>
        <w:widowControl w:val="0"/>
        <w:kinsoku/>
        <w:wordWrap/>
        <w:topLinePunct w:val="0"/>
        <w:autoSpaceDE/>
        <w:autoSpaceDN/>
        <w:bidi w:val="0"/>
        <w:adjustRightInd/>
        <w:snapToGrid/>
        <w:spacing w:line="600" w:lineRule="exact"/>
        <w:jc w:val="center"/>
        <w:textAlignment w:val="auto"/>
        <w:rPr>
          <w:rFonts w:ascii="黑体" w:hAnsi="黑体" w:eastAsia="黑体"/>
          <w:sz w:val="32"/>
          <w:szCs w:val="32"/>
          <w:highlight w:val="none"/>
        </w:rPr>
      </w:pPr>
      <w:r>
        <w:rPr>
          <w:rFonts w:hint="eastAsia" w:ascii="黑体" w:hAnsi="黑体" w:eastAsia="黑体"/>
          <w:sz w:val="32"/>
          <w:szCs w:val="32"/>
          <w:highlight w:val="none"/>
        </w:rPr>
        <w:t>第</w:t>
      </w:r>
      <w:r>
        <w:rPr>
          <w:rFonts w:hint="eastAsia" w:ascii="黑体" w:hAnsi="黑体" w:eastAsia="黑体"/>
          <w:sz w:val="32"/>
          <w:szCs w:val="32"/>
          <w:highlight w:val="none"/>
          <w:lang w:val="en-US" w:eastAsia="zh-CN"/>
        </w:rPr>
        <w:t>五</w:t>
      </w:r>
      <w:r>
        <w:rPr>
          <w:rFonts w:hint="eastAsia" w:ascii="黑体" w:hAnsi="黑体" w:eastAsia="黑体"/>
          <w:sz w:val="32"/>
          <w:szCs w:val="32"/>
          <w:highlight w:val="none"/>
        </w:rPr>
        <w:t xml:space="preserve">章  </w:t>
      </w:r>
      <w:r>
        <w:rPr>
          <w:rFonts w:hint="eastAsia" w:ascii="黑体" w:hAnsi="黑体" w:eastAsia="黑体"/>
          <w:sz w:val="32"/>
          <w:szCs w:val="32"/>
          <w:highlight w:val="none"/>
          <w:lang w:eastAsia="zh-CN"/>
        </w:rPr>
        <w:t>违规</w:t>
      </w:r>
      <w:r>
        <w:rPr>
          <w:rFonts w:hint="eastAsia" w:ascii="黑体" w:hAnsi="黑体" w:eastAsia="黑体"/>
          <w:sz w:val="32"/>
          <w:szCs w:val="32"/>
          <w:highlight w:val="none"/>
        </w:rPr>
        <w:t>用水用能处罚</w:t>
      </w:r>
    </w:p>
    <w:p w14:paraId="5C69499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 w:eastAsia="仿宋_GB2312"/>
          <w:sz w:val="32"/>
          <w:szCs w:val="32"/>
          <w:highlight w:val="none"/>
          <w:lang w:val="en-US" w:eastAsia="zh-CN"/>
        </w:rPr>
      </w:pPr>
      <w:r>
        <w:rPr>
          <w:rFonts w:hint="eastAsia" w:ascii="楷体" w:hAnsi="楷体" w:eastAsia="楷体" w:cs="楷体"/>
          <w:b/>
          <w:sz w:val="32"/>
          <w:szCs w:val="32"/>
          <w:highlight w:val="none"/>
        </w:rPr>
        <w:t>第十六条</w:t>
      </w:r>
      <w:r>
        <w:rPr>
          <w:rFonts w:hint="eastAsia" w:ascii="仿宋_GB2312" w:hAnsi="仿宋" w:eastAsia="仿宋_GB2312"/>
          <w:b/>
          <w:sz w:val="32"/>
          <w:szCs w:val="32"/>
          <w:highlight w:val="none"/>
        </w:rPr>
        <w:t xml:space="preserve"> </w:t>
      </w:r>
      <w:r>
        <w:rPr>
          <w:rFonts w:hint="eastAsia" w:ascii="仿宋_GB2312" w:hAnsi="仿宋" w:eastAsia="仿宋_GB2312"/>
          <w:sz w:val="32"/>
          <w:szCs w:val="32"/>
          <w:highlight w:val="none"/>
        </w:rPr>
        <w:t>由第三方用户违</w:t>
      </w:r>
      <w:r>
        <w:rPr>
          <w:rFonts w:hint="eastAsia" w:ascii="仿宋_GB2312" w:hAnsi="仿宋" w:eastAsia="仿宋_GB2312"/>
          <w:sz w:val="32"/>
          <w:szCs w:val="32"/>
          <w:highlight w:val="none"/>
          <w:lang w:val="en-US" w:eastAsia="zh-CN"/>
        </w:rPr>
        <w:t>规</w:t>
      </w:r>
      <w:r>
        <w:rPr>
          <w:rFonts w:hint="eastAsia" w:ascii="仿宋_GB2312" w:hAnsi="仿宋" w:eastAsia="仿宋_GB2312"/>
          <w:sz w:val="32"/>
          <w:szCs w:val="32"/>
          <w:highlight w:val="none"/>
        </w:rPr>
        <w:t>造成停水停电</w:t>
      </w:r>
      <w:r>
        <w:rPr>
          <w:rFonts w:hint="eastAsia" w:ascii="仿宋_GB2312" w:hAnsi="仿宋" w:eastAsia="仿宋_GB2312"/>
          <w:sz w:val="32"/>
          <w:szCs w:val="32"/>
          <w:highlight w:val="none"/>
          <w:lang w:eastAsia="zh-CN"/>
        </w:rPr>
        <w:t>的</w:t>
      </w:r>
      <w:r>
        <w:rPr>
          <w:rFonts w:hint="eastAsia" w:ascii="仿宋_GB2312" w:hAnsi="仿宋" w:eastAsia="仿宋_GB2312"/>
          <w:sz w:val="32"/>
          <w:szCs w:val="32"/>
          <w:highlight w:val="none"/>
        </w:rPr>
        <w:t>，引进方需配合能源办核查违</w:t>
      </w:r>
      <w:r>
        <w:rPr>
          <w:rFonts w:hint="eastAsia" w:ascii="仿宋_GB2312" w:hAnsi="仿宋" w:eastAsia="仿宋_GB2312"/>
          <w:sz w:val="32"/>
          <w:szCs w:val="32"/>
          <w:highlight w:val="none"/>
          <w:lang w:val="en-US" w:eastAsia="zh-CN"/>
        </w:rPr>
        <w:t>规</w:t>
      </w:r>
      <w:r>
        <w:rPr>
          <w:rFonts w:hint="eastAsia" w:ascii="仿宋_GB2312" w:hAnsi="仿宋" w:eastAsia="仿宋_GB2312"/>
          <w:sz w:val="32"/>
          <w:szCs w:val="32"/>
          <w:highlight w:val="none"/>
        </w:rPr>
        <w:t>原因、提供第三方用户相关信息，同时须主动追究第三方用户相关责任；对因此造成的影响和损失，引进方需督促第三方用户承担赔偿义务、赔付相应损失，并将责任追究及损失赔偿结果同步报备能源办与学校节水节能工作领导小组。若第三方用户的</w:t>
      </w:r>
      <w:r>
        <w:rPr>
          <w:rFonts w:hint="eastAsia" w:ascii="仿宋_GB2312" w:hAnsi="仿宋" w:eastAsia="仿宋_GB2312"/>
          <w:sz w:val="32"/>
          <w:szCs w:val="32"/>
          <w:highlight w:val="none"/>
          <w:lang w:val="en-US" w:eastAsia="zh-CN"/>
        </w:rPr>
        <w:t>违规</w:t>
      </w:r>
      <w:r>
        <w:rPr>
          <w:rFonts w:hint="eastAsia" w:ascii="仿宋_GB2312" w:hAnsi="仿宋" w:eastAsia="仿宋_GB2312"/>
          <w:sz w:val="32"/>
          <w:szCs w:val="32"/>
          <w:highlight w:val="none"/>
        </w:rPr>
        <w:t>行为危害供水供电安全、扰乱供水供电秩序且造成恶劣影响，引进方需协助能源办和学校相关部门依法追责，确保其承担相应法律责任。</w:t>
      </w:r>
      <w:r>
        <w:rPr>
          <w:rFonts w:hint="eastAsia" w:ascii="仿宋_GB2312" w:hAnsi="仿宋" w:eastAsia="仿宋_GB2312"/>
          <w:sz w:val="32"/>
          <w:szCs w:val="32"/>
          <w:highlight w:val="none"/>
          <w:lang w:val="en-US" w:eastAsia="zh-CN"/>
        </w:rPr>
        <w:t xml:space="preserve"> </w:t>
      </w:r>
    </w:p>
    <w:p w14:paraId="789363D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hAnsi="仿宋" w:eastAsia="仿宋_GB2312"/>
          <w:sz w:val="32"/>
          <w:szCs w:val="32"/>
          <w:highlight w:val="none"/>
        </w:rPr>
      </w:pPr>
      <w:r>
        <w:rPr>
          <w:rFonts w:hint="eastAsia" w:ascii="仿宋_GB2312" w:hAnsi="仿宋" w:eastAsia="仿宋_GB2312"/>
          <w:b/>
          <w:sz w:val="32"/>
          <w:szCs w:val="32"/>
          <w:highlight w:val="none"/>
        </w:rPr>
        <w:t>第十</w:t>
      </w:r>
      <w:r>
        <w:rPr>
          <w:rFonts w:hint="eastAsia" w:ascii="仿宋_GB2312" w:hAnsi="仿宋" w:eastAsia="仿宋_GB2312"/>
          <w:b/>
          <w:sz w:val="32"/>
          <w:szCs w:val="32"/>
          <w:highlight w:val="none"/>
          <w:lang w:val="en-US" w:eastAsia="zh-CN"/>
        </w:rPr>
        <w:t>七</w:t>
      </w:r>
      <w:r>
        <w:rPr>
          <w:rFonts w:hint="eastAsia" w:ascii="仿宋_GB2312" w:hAnsi="仿宋" w:eastAsia="仿宋_GB2312"/>
          <w:b/>
          <w:sz w:val="32"/>
          <w:szCs w:val="32"/>
          <w:highlight w:val="none"/>
        </w:rPr>
        <w:t xml:space="preserve">条 </w:t>
      </w:r>
      <w:r>
        <w:rPr>
          <w:rFonts w:hint="eastAsia" w:ascii="仿宋_GB2312" w:hAnsi="仿宋" w:eastAsia="仿宋_GB2312"/>
          <w:sz w:val="32"/>
          <w:szCs w:val="32"/>
          <w:highlight w:val="none"/>
        </w:rPr>
        <w:t>对</w:t>
      </w:r>
      <w:r>
        <w:rPr>
          <w:rFonts w:hint="eastAsia" w:ascii="仿宋_GB2312" w:hAnsi="仿宋" w:eastAsia="仿宋_GB2312"/>
          <w:sz w:val="32"/>
          <w:szCs w:val="32"/>
          <w:highlight w:val="none"/>
          <w:lang w:eastAsia="zh-CN"/>
        </w:rPr>
        <w:t>违规</w:t>
      </w:r>
      <w:r>
        <w:rPr>
          <w:rFonts w:hint="eastAsia" w:ascii="仿宋_GB2312" w:hAnsi="仿宋" w:eastAsia="仿宋_GB2312"/>
          <w:sz w:val="32"/>
          <w:szCs w:val="32"/>
          <w:highlight w:val="none"/>
        </w:rPr>
        <w:t>用水用能的行为，</w:t>
      </w:r>
      <w:r>
        <w:rPr>
          <w:rFonts w:hint="eastAsia" w:ascii="仿宋_GB2312" w:hAnsi="仿宋" w:eastAsia="仿宋_GB2312"/>
          <w:sz w:val="32"/>
          <w:szCs w:val="32"/>
          <w:highlight w:val="none"/>
          <w:lang w:val="en-US" w:eastAsia="zh-CN"/>
        </w:rPr>
        <w:t>能源办将</w:t>
      </w:r>
      <w:r>
        <w:rPr>
          <w:rFonts w:hint="eastAsia" w:ascii="仿宋_GB2312" w:hAnsi="仿宋" w:eastAsia="仿宋_GB2312"/>
          <w:sz w:val="32"/>
          <w:szCs w:val="32"/>
          <w:highlight w:val="none"/>
        </w:rPr>
        <w:t>根据计量和测算的数据补缴</w:t>
      </w:r>
      <w:r>
        <w:rPr>
          <w:rFonts w:hint="eastAsia" w:ascii="仿宋_GB2312" w:hAnsi="仿宋" w:eastAsia="仿宋_GB2312"/>
          <w:sz w:val="32"/>
          <w:szCs w:val="32"/>
          <w:highlight w:val="none"/>
          <w:lang w:val="en-US" w:eastAsia="zh-CN"/>
        </w:rPr>
        <w:t>用水用能费用</w:t>
      </w:r>
      <w:r>
        <w:rPr>
          <w:rFonts w:hint="eastAsia" w:ascii="仿宋_GB2312" w:hAnsi="仿宋" w:eastAsia="仿宋_GB2312"/>
          <w:sz w:val="32"/>
          <w:szCs w:val="32"/>
          <w:highlight w:val="none"/>
        </w:rPr>
        <w:t>，限期责令其改正。</w:t>
      </w:r>
    </w:p>
    <w:p w14:paraId="520AFD77">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lang w:val="en-US" w:eastAsia="zh-CN"/>
        </w:rPr>
        <w:t>第三方</w:t>
      </w:r>
      <w:r>
        <w:rPr>
          <w:rFonts w:hint="eastAsia" w:ascii="仿宋_GB2312" w:hAnsi="仿宋" w:eastAsia="仿宋_GB2312"/>
          <w:sz w:val="32"/>
          <w:szCs w:val="32"/>
          <w:highlight w:val="none"/>
        </w:rPr>
        <w:t>用户有下列行为之一者，均以窃水窃能行为</w:t>
      </w:r>
      <w:r>
        <w:rPr>
          <w:rFonts w:hint="eastAsia" w:ascii="仿宋_GB2312" w:hAnsi="仿宋" w:eastAsia="仿宋_GB2312"/>
          <w:sz w:val="32"/>
          <w:szCs w:val="32"/>
          <w:highlight w:val="none"/>
          <w:lang w:eastAsia="zh-CN"/>
        </w:rPr>
        <w:t>论</w:t>
      </w:r>
      <w:r>
        <w:rPr>
          <w:rFonts w:hint="eastAsia" w:ascii="仿宋_GB2312" w:hAnsi="仿宋" w:eastAsia="仿宋_GB2312"/>
          <w:sz w:val="32"/>
          <w:szCs w:val="32"/>
          <w:highlight w:val="none"/>
        </w:rPr>
        <w:t>处：</w:t>
      </w:r>
    </w:p>
    <w:p w14:paraId="1FE7E667">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lang w:eastAsia="zh-CN"/>
        </w:rPr>
        <w:t>1.</w:t>
      </w:r>
      <w:r>
        <w:rPr>
          <w:rFonts w:hint="eastAsia" w:ascii="仿宋_GB2312" w:hAnsi="仿宋" w:eastAsia="仿宋_GB2312"/>
          <w:sz w:val="32"/>
          <w:szCs w:val="32"/>
          <w:highlight w:val="none"/>
          <w:lang w:val="en-US" w:eastAsia="zh-CN"/>
        </w:rPr>
        <w:t>未按要求安装计量</w:t>
      </w:r>
      <w:r>
        <w:rPr>
          <w:rFonts w:hint="eastAsia" w:ascii="仿宋_GB2312" w:hAnsi="仿宋" w:eastAsia="仿宋_GB2312"/>
          <w:sz w:val="32"/>
          <w:szCs w:val="32"/>
          <w:highlight w:val="none"/>
        </w:rPr>
        <w:t>表具</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在供水供能管网上擅自接管拉线用水用能的；</w:t>
      </w:r>
    </w:p>
    <w:p w14:paraId="4AF853DD">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lang w:eastAsia="zh-CN"/>
        </w:rPr>
        <w:t>2.</w:t>
      </w:r>
      <w:r>
        <w:rPr>
          <w:rFonts w:hint="eastAsia" w:ascii="仿宋_GB2312" w:hAnsi="仿宋" w:eastAsia="仿宋_GB2312"/>
          <w:sz w:val="32"/>
          <w:szCs w:val="32"/>
          <w:highlight w:val="none"/>
        </w:rPr>
        <w:t>绕越供水供能计量</w:t>
      </w:r>
      <w:r>
        <w:rPr>
          <w:rFonts w:hint="eastAsia" w:ascii="仿宋_GB2312" w:hAnsi="仿宋" w:eastAsia="仿宋_GB2312"/>
          <w:sz w:val="32"/>
          <w:szCs w:val="32"/>
          <w:highlight w:val="none"/>
          <w:lang w:val="en-US" w:eastAsia="zh-CN"/>
        </w:rPr>
        <w:t>表具</w:t>
      </w:r>
      <w:r>
        <w:rPr>
          <w:rFonts w:hint="eastAsia" w:ascii="仿宋_GB2312" w:hAnsi="仿宋" w:eastAsia="仿宋_GB2312"/>
          <w:sz w:val="32"/>
          <w:szCs w:val="32"/>
          <w:highlight w:val="none"/>
        </w:rPr>
        <w:t>用水用能的；</w:t>
      </w:r>
    </w:p>
    <w:p w14:paraId="0D6D2465">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lang w:eastAsia="zh-CN"/>
        </w:rPr>
        <w:t>3.</w:t>
      </w:r>
      <w:r>
        <w:rPr>
          <w:rFonts w:hint="eastAsia" w:ascii="仿宋_GB2312" w:hAnsi="仿宋" w:eastAsia="仿宋_GB2312"/>
          <w:sz w:val="32"/>
          <w:szCs w:val="32"/>
          <w:highlight w:val="none"/>
        </w:rPr>
        <w:t>伪造或切断水电等能源计量</w:t>
      </w:r>
      <w:r>
        <w:rPr>
          <w:rFonts w:hint="eastAsia" w:ascii="仿宋_GB2312" w:hAnsi="仿宋" w:eastAsia="仿宋_GB2312"/>
          <w:sz w:val="32"/>
          <w:szCs w:val="32"/>
          <w:highlight w:val="none"/>
          <w:lang w:val="en-US" w:eastAsia="zh-CN"/>
        </w:rPr>
        <w:t>表具</w:t>
      </w:r>
      <w:r>
        <w:rPr>
          <w:rFonts w:hint="eastAsia" w:ascii="仿宋_GB2312" w:hAnsi="仿宋" w:eastAsia="仿宋_GB2312"/>
          <w:sz w:val="32"/>
          <w:szCs w:val="32"/>
          <w:highlight w:val="none"/>
        </w:rPr>
        <w:t>用水用能的；</w:t>
      </w:r>
    </w:p>
    <w:p w14:paraId="41591B6F">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lang w:eastAsia="zh-CN"/>
        </w:rPr>
        <w:t>4.</w:t>
      </w:r>
      <w:r>
        <w:rPr>
          <w:rFonts w:hint="eastAsia" w:ascii="仿宋_GB2312" w:hAnsi="仿宋" w:eastAsia="仿宋_GB2312"/>
          <w:sz w:val="32"/>
          <w:szCs w:val="32"/>
          <w:highlight w:val="none"/>
        </w:rPr>
        <w:t>故意损坏水电等能源计量</w:t>
      </w:r>
      <w:r>
        <w:rPr>
          <w:rFonts w:hint="eastAsia" w:ascii="仿宋_GB2312" w:hAnsi="仿宋" w:eastAsia="仿宋_GB2312"/>
          <w:sz w:val="32"/>
          <w:szCs w:val="32"/>
          <w:highlight w:val="none"/>
          <w:lang w:val="en-US" w:eastAsia="zh-CN"/>
        </w:rPr>
        <w:t>表具</w:t>
      </w:r>
      <w:r>
        <w:rPr>
          <w:rFonts w:hint="eastAsia" w:ascii="仿宋_GB2312" w:hAnsi="仿宋" w:eastAsia="仿宋_GB2312"/>
          <w:sz w:val="32"/>
          <w:szCs w:val="32"/>
          <w:highlight w:val="none"/>
        </w:rPr>
        <w:t>的；</w:t>
      </w:r>
    </w:p>
    <w:p w14:paraId="1C9940FA">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rPr>
      </w:pPr>
      <w:r>
        <w:rPr>
          <w:rFonts w:hint="eastAsia" w:ascii="仿宋_GB2312" w:hAnsi="仿宋" w:eastAsia="仿宋_GB2312"/>
          <w:sz w:val="32"/>
          <w:szCs w:val="32"/>
          <w:highlight w:val="none"/>
          <w:lang w:eastAsia="zh-CN"/>
        </w:rPr>
        <w:t>5.</w:t>
      </w:r>
      <w:r>
        <w:rPr>
          <w:rFonts w:hint="eastAsia" w:ascii="仿宋_GB2312" w:hAnsi="仿宋" w:eastAsia="仿宋_GB2312"/>
          <w:sz w:val="32"/>
          <w:szCs w:val="32"/>
          <w:highlight w:val="none"/>
        </w:rPr>
        <w:t>因故意行为致使水电等能源计量装置计量不准或者失效的；</w:t>
      </w:r>
    </w:p>
    <w:p w14:paraId="49B22DFC">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6.未</w:t>
      </w:r>
      <w:r>
        <w:rPr>
          <w:rFonts w:hint="eastAsia" w:ascii="仿宋_GB2312" w:hAnsi="仿宋" w:eastAsia="仿宋_GB2312"/>
          <w:sz w:val="32"/>
          <w:szCs w:val="32"/>
          <w:highlight w:val="none"/>
        </w:rPr>
        <w:t>经同意自行安装或擅自拆除</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更换</w:t>
      </w:r>
      <w:r>
        <w:rPr>
          <w:rFonts w:hint="eastAsia" w:ascii="仿宋_GB2312" w:hAnsi="仿宋" w:eastAsia="仿宋_GB2312"/>
          <w:sz w:val="32"/>
          <w:szCs w:val="32"/>
          <w:highlight w:val="none"/>
        </w:rPr>
        <w:t>计量表具的</w:t>
      </w:r>
      <w:r>
        <w:rPr>
          <w:rFonts w:hint="eastAsia" w:ascii="仿宋_GB2312" w:hAnsi="仿宋" w:eastAsia="仿宋_GB2312"/>
          <w:sz w:val="32"/>
          <w:szCs w:val="32"/>
          <w:highlight w:val="none"/>
          <w:lang w:eastAsia="zh-CN"/>
        </w:rPr>
        <w:t>；</w:t>
      </w:r>
    </w:p>
    <w:p w14:paraId="5106BD94">
      <w:pPr>
        <w:keepNext w:val="0"/>
        <w:keepLines w:val="0"/>
        <w:pageBreakBefore w:val="0"/>
        <w:widowControl w:val="0"/>
        <w:kinsoku/>
        <w:wordWrap/>
        <w:topLinePunct w:val="0"/>
        <w:autoSpaceDE/>
        <w:autoSpaceDN/>
        <w:bidi w:val="0"/>
        <w:adjustRightInd/>
        <w:snapToGrid/>
        <w:spacing w:line="60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lang w:val="en-US" w:eastAsia="zh-CN"/>
        </w:rPr>
        <w:t>7.</w:t>
      </w:r>
      <w:r>
        <w:rPr>
          <w:rFonts w:hint="eastAsia" w:ascii="仿宋_GB2312" w:hAnsi="仿宋" w:eastAsia="仿宋_GB2312"/>
          <w:sz w:val="32"/>
          <w:szCs w:val="32"/>
          <w:highlight w:val="none"/>
        </w:rPr>
        <w:t>采取其他方式窃水窃能的。</w:t>
      </w:r>
    </w:p>
    <w:p w14:paraId="0D261638">
      <w:pPr>
        <w:keepNext w:val="0"/>
        <w:keepLines w:val="0"/>
        <w:pageBreakBefore w:val="0"/>
        <w:widowControl w:val="0"/>
        <w:kinsoku/>
        <w:wordWrap/>
        <w:topLinePunct w:val="0"/>
        <w:autoSpaceDE/>
        <w:autoSpaceDN/>
        <w:bidi w:val="0"/>
        <w:adjustRightInd/>
        <w:snapToGrid/>
        <w:spacing w:line="600" w:lineRule="exact"/>
        <w:ind w:firstLine="640"/>
        <w:jc w:val="left"/>
        <w:textAlignment w:val="auto"/>
        <w:rPr>
          <w:rFonts w:hint="eastAsia" w:ascii="仿宋_GB2312" w:hAnsi="仿宋" w:eastAsia="仿宋_GB2312"/>
          <w:sz w:val="32"/>
          <w:szCs w:val="32"/>
          <w:highlight w:val="none"/>
        </w:rPr>
      </w:pPr>
      <w:r>
        <w:rPr>
          <w:rFonts w:hint="eastAsia" w:ascii="仿宋_GB2312" w:hAnsi="仿宋" w:eastAsia="仿宋_GB2312"/>
          <w:sz w:val="32"/>
          <w:szCs w:val="32"/>
          <w:highlight w:val="none"/>
        </w:rPr>
        <w:t>经核实，第三方用户存在上述窃水窃能行为的，引进方需先行协助能源办核查取证，并配合能源办督促第三方用户在规定期限内完成整改；同时，引进方需协助能源办向第三方用户追缴费用</w:t>
      </w:r>
      <w:r>
        <w:rPr>
          <w:rFonts w:hint="eastAsia" w:ascii="仿宋_GB2312" w:hAnsi="仿宋" w:eastAsia="仿宋_GB2312"/>
          <w:sz w:val="32"/>
          <w:szCs w:val="32"/>
          <w:highlight w:val="none"/>
          <w:lang w:eastAsia="zh-CN"/>
        </w:rPr>
        <w:t>（依据</w:t>
      </w:r>
      <w:r>
        <w:rPr>
          <w:rFonts w:hint="eastAsia" w:ascii="仿宋_GB2312" w:hAnsi="仿宋" w:eastAsia="仿宋_GB2312"/>
          <w:sz w:val="32"/>
          <w:szCs w:val="32"/>
          <w:highlight w:val="none"/>
          <w:lang w:val="en-US" w:eastAsia="zh-CN"/>
        </w:rPr>
        <w:t>恢复正常计量后一年中用水、用能量最高月份数据，一次性补缴一年全部费用）。</w:t>
      </w:r>
      <w:r>
        <w:rPr>
          <w:rFonts w:hint="eastAsia" w:ascii="仿宋_GB2312" w:hAnsi="仿宋" w:eastAsia="仿宋_GB2312"/>
          <w:sz w:val="32"/>
          <w:szCs w:val="32"/>
          <w:highlight w:val="none"/>
        </w:rPr>
        <w:t>若因窃水、窃电造成供水供能设备损坏，引进方需牵头协调责任人承担相关维修费用赔偿事宜，确保赔偿款及时到位，并将整改进度、费用追缴及赔偿结果同步报备能源办。</w:t>
      </w:r>
    </w:p>
    <w:p w14:paraId="0D54EA28">
      <w:pPr>
        <w:keepNext w:val="0"/>
        <w:keepLines w:val="0"/>
        <w:pageBreakBefore w:val="0"/>
        <w:widowControl w:val="0"/>
        <w:kinsoku/>
        <w:wordWrap/>
        <w:topLinePunct w:val="0"/>
        <w:autoSpaceDE/>
        <w:autoSpaceDN/>
        <w:bidi w:val="0"/>
        <w:adjustRightInd/>
        <w:snapToGrid/>
        <w:spacing w:line="600" w:lineRule="exact"/>
        <w:jc w:val="center"/>
        <w:textAlignment w:val="auto"/>
        <w:rPr>
          <w:rFonts w:ascii="黑体" w:hAnsi="黑体" w:eastAsia="黑体"/>
          <w:sz w:val="32"/>
          <w:szCs w:val="32"/>
          <w:highlight w:val="none"/>
        </w:rPr>
      </w:pPr>
      <w:r>
        <w:rPr>
          <w:rFonts w:hint="eastAsia" w:ascii="黑体" w:hAnsi="黑体" w:eastAsia="黑体"/>
          <w:sz w:val="32"/>
          <w:szCs w:val="32"/>
          <w:highlight w:val="none"/>
        </w:rPr>
        <w:t>第</w:t>
      </w:r>
      <w:r>
        <w:rPr>
          <w:rFonts w:hint="eastAsia" w:ascii="黑体" w:hAnsi="黑体" w:eastAsia="黑体"/>
          <w:sz w:val="32"/>
          <w:szCs w:val="32"/>
          <w:highlight w:val="none"/>
          <w:lang w:val="en-US" w:eastAsia="zh-CN"/>
        </w:rPr>
        <w:t>六</w:t>
      </w:r>
      <w:r>
        <w:rPr>
          <w:rFonts w:hint="eastAsia" w:ascii="黑体" w:hAnsi="黑体" w:eastAsia="黑体"/>
          <w:sz w:val="32"/>
          <w:szCs w:val="32"/>
          <w:highlight w:val="none"/>
        </w:rPr>
        <w:t>章</w:t>
      </w:r>
      <w:r>
        <w:rPr>
          <w:rFonts w:hint="eastAsia" w:ascii="黑体" w:hAnsi="黑体" w:eastAsia="黑体"/>
          <w:highlight w:val="none"/>
        </w:rPr>
        <w:t xml:space="preserve"> </w:t>
      </w:r>
      <w:r>
        <w:rPr>
          <w:rFonts w:ascii="黑体" w:hAnsi="黑体" w:eastAsia="黑体"/>
          <w:highlight w:val="none"/>
        </w:rPr>
        <w:t xml:space="preserve"> </w:t>
      </w:r>
      <w:r>
        <w:rPr>
          <w:rFonts w:hint="eastAsia" w:ascii="黑体" w:hAnsi="黑体" w:eastAsia="黑体"/>
          <w:sz w:val="32"/>
          <w:szCs w:val="32"/>
          <w:highlight w:val="none"/>
        </w:rPr>
        <w:t>附则</w:t>
      </w:r>
    </w:p>
    <w:p w14:paraId="3676BF9F">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hint="default" w:ascii="仿宋_GB2312" w:hAnsi="仿宋" w:eastAsia="仿宋_GB2312"/>
          <w:sz w:val="32"/>
          <w:szCs w:val="32"/>
          <w:highlight w:val="none"/>
          <w:lang w:val="en-US" w:eastAsia="zh-CN"/>
        </w:rPr>
      </w:pPr>
      <w:r>
        <w:rPr>
          <w:rStyle w:val="15"/>
          <w:rFonts w:hint="eastAsia" w:ascii="仿宋_GB2312" w:hAnsi="仿宋" w:eastAsia="仿宋_GB2312"/>
          <w:bCs w:val="0"/>
          <w:sz w:val="32"/>
          <w:szCs w:val="32"/>
          <w:highlight w:val="none"/>
        </w:rPr>
        <w:t>第</w:t>
      </w:r>
      <w:r>
        <w:rPr>
          <w:rFonts w:hint="eastAsia" w:ascii="仿宋_GB2312" w:hAnsi="仿宋" w:eastAsia="仿宋_GB2312"/>
          <w:b/>
          <w:sz w:val="32"/>
          <w:szCs w:val="32"/>
          <w:highlight w:val="none"/>
        </w:rPr>
        <w:t>十</w:t>
      </w:r>
      <w:r>
        <w:rPr>
          <w:rFonts w:hint="eastAsia" w:ascii="仿宋_GB2312" w:hAnsi="仿宋" w:eastAsia="仿宋_GB2312"/>
          <w:b/>
          <w:sz w:val="32"/>
          <w:szCs w:val="32"/>
          <w:highlight w:val="none"/>
          <w:lang w:val="en-US" w:eastAsia="zh-CN"/>
        </w:rPr>
        <w:t>八</w:t>
      </w:r>
      <w:r>
        <w:rPr>
          <w:rStyle w:val="15"/>
          <w:rFonts w:hint="eastAsia" w:ascii="仿宋_GB2312" w:hAnsi="仿宋" w:eastAsia="仿宋_GB2312"/>
          <w:bCs w:val="0"/>
          <w:sz w:val="32"/>
          <w:szCs w:val="32"/>
          <w:highlight w:val="none"/>
        </w:rPr>
        <w:t xml:space="preserve">条 </w:t>
      </w:r>
      <w:r>
        <w:rPr>
          <w:rFonts w:hint="eastAsia" w:ascii="仿宋_GB2312" w:hAnsi="仿宋" w:eastAsia="仿宋_GB2312"/>
          <w:sz w:val="32"/>
          <w:szCs w:val="32"/>
          <w:highlight w:val="none"/>
        </w:rPr>
        <w:t>本办法自校长办公会通过之日起施行。</w:t>
      </w:r>
    </w:p>
    <w:p w14:paraId="5D0C62AA">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hint="eastAsia" w:ascii="黑体" w:hAnsi="黑体" w:eastAsia="仿宋_GB2312"/>
          <w:sz w:val="32"/>
          <w:szCs w:val="32"/>
          <w:highlight w:val="none"/>
          <w:lang w:val="en-US" w:eastAsia="zh-CN"/>
        </w:rPr>
      </w:pPr>
      <w:r>
        <w:rPr>
          <w:rStyle w:val="15"/>
          <w:rFonts w:hint="eastAsia" w:ascii="仿宋_GB2312" w:hAnsi="仿宋" w:eastAsia="仿宋_GB2312" w:cstheme="minorBidi"/>
          <w:bCs w:val="0"/>
          <w:sz w:val="32"/>
          <w:szCs w:val="32"/>
          <w:highlight w:val="none"/>
        </w:rPr>
        <w:t>第</w:t>
      </w:r>
      <w:r>
        <w:rPr>
          <w:rFonts w:hint="eastAsia" w:ascii="仿宋_GB2312" w:hAnsi="仿宋" w:eastAsia="仿宋_GB2312"/>
          <w:b/>
          <w:sz w:val="32"/>
          <w:szCs w:val="32"/>
          <w:highlight w:val="none"/>
        </w:rPr>
        <w:t>十</w:t>
      </w:r>
      <w:r>
        <w:rPr>
          <w:rFonts w:hint="eastAsia" w:ascii="仿宋_GB2312" w:hAnsi="仿宋" w:eastAsia="仿宋_GB2312"/>
          <w:b/>
          <w:sz w:val="32"/>
          <w:szCs w:val="32"/>
          <w:highlight w:val="none"/>
          <w:lang w:val="en-US" w:eastAsia="zh-CN"/>
        </w:rPr>
        <w:t>九</w:t>
      </w:r>
      <w:r>
        <w:rPr>
          <w:rStyle w:val="15"/>
          <w:rFonts w:hint="eastAsia" w:ascii="仿宋_GB2312" w:hAnsi="仿宋" w:eastAsia="仿宋_GB2312" w:cstheme="minorBidi"/>
          <w:bCs w:val="0"/>
          <w:sz w:val="32"/>
          <w:szCs w:val="32"/>
          <w:highlight w:val="none"/>
        </w:rPr>
        <w:t xml:space="preserve">条 </w:t>
      </w:r>
      <w:r>
        <w:rPr>
          <w:rFonts w:hint="eastAsia" w:ascii="仿宋_GB2312" w:hAnsi="仿宋" w:eastAsia="仿宋_GB2312" w:cstheme="minorBidi"/>
          <w:sz w:val="32"/>
          <w:szCs w:val="32"/>
          <w:highlight w:val="none"/>
          <w:lang w:eastAsia="zh-CN"/>
        </w:rPr>
        <w:t>在本办法</w:t>
      </w:r>
      <w:r>
        <w:rPr>
          <w:rFonts w:hint="eastAsia" w:ascii="仿宋_GB2312" w:hAnsi="仿宋" w:eastAsia="仿宋_GB2312" w:cstheme="minorBidi"/>
          <w:sz w:val="32"/>
          <w:szCs w:val="32"/>
          <w:highlight w:val="none"/>
          <w:lang w:val="en-US" w:eastAsia="zh-CN"/>
        </w:rPr>
        <w:t xml:space="preserve">通过之日前已签订合同的第三方用户，补签《责任书》后，依照本办法管理要求执行。 </w:t>
      </w:r>
    </w:p>
    <w:p w14:paraId="69BE6F7E">
      <w:pPr>
        <w:keepNext w:val="0"/>
        <w:keepLines w:val="0"/>
        <w:pageBreakBefore w:val="0"/>
        <w:widowControl w:val="0"/>
        <w:kinsoku/>
        <w:wordWrap/>
        <w:topLinePunct w:val="0"/>
        <w:autoSpaceDE/>
        <w:autoSpaceDN/>
        <w:bidi w:val="0"/>
        <w:adjustRightInd/>
        <w:snapToGrid/>
        <w:spacing w:line="600" w:lineRule="exact"/>
        <w:ind w:firstLine="643" w:firstLineChars="200"/>
        <w:textAlignment w:val="auto"/>
        <w:rPr>
          <w:rFonts w:hint="eastAsia" w:ascii="仿宋_GB2312" w:hAnsi="微软雅黑" w:eastAsia="仿宋_GB2312"/>
          <w:sz w:val="24"/>
          <w:szCs w:val="13"/>
          <w:highlight w:val="none"/>
          <w:lang w:val="en-US" w:eastAsia="zh-CN"/>
        </w:rPr>
      </w:pPr>
      <w:r>
        <w:rPr>
          <w:rStyle w:val="15"/>
          <w:rFonts w:hint="eastAsia" w:ascii="仿宋_GB2312" w:hAnsi="仿宋" w:eastAsia="仿宋_GB2312" w:cstheme="minorBidi"/>
          <w:bCs w:val="0"/>
          <w:sz w:val="32"/>
          <w:szCs w:val="32"/>
          <w:highlight w:val="none"/>
        </w:rPr>
        <w:t>第</w:t>
      </w:r>
      <w:r>
        <w:rPr>
          <w:rFonts w:hint="eastAsia" w:ascii="仿宋_GB2312" w:hAnsi="仿宋" w:eastAsia="仿宋_GB2312"/>
          <w:b/>
          <w:sz w:val="32"/>
          <w:szCs w:val="32"/>
          <w:highlight w:val="none"/>
          <w:lang w:val="en-US" w:eastAsia="zh-CN"/>
        </w:rPr>
        <w:t>二十</w:t>
      </w:r>
      <w:r>
        <w:rPr>
          <w:rStyle w:val="15"/>
          <w:rFonts w:hint="eastAsia" w:ascii="仿宋_GB2312" w:hAnsi="仿宋" w:eastAsia="仿宋_GB2312" w:cstheme="minorBidi"/>
          <w:bCs w:val="0"/>
          <w:sz w:val="32"/>
          <w:szCs w:val="32"/>
          <w:highlight w:val="none"/>
        </w:rPr>
        <w:t>条</w:t>
      </w:r>
      <w:r>
        <w:rPr>
          <w:rStyle w:val="15"/>
          <w:rFonts w:hint="eastAsia" w:ascii="仿宋_GB2312" w:hAnsi="仿宋" w:eastAsia="仿宋_GB2312" w:cstheme="minorBidi"/>
          <w:bCs w:val="0"/>
          <w:sz w:val="32"/>
          <w:szCs w:val="32"/>
          <w:highlight w:val="none"/>
          <w:lang w:val="en-US" w:eastAsia="zh-CN"/>
        </w:rPr>
        <w:t xml:space="preserve"> </w:t>
      </w:r>
      <w:r>
        <w:rPr>
          <w:rFonts w:hint="eastAsia" w:ascii="仿宋_GB2312" w:hAnsi="仿宋" w:eastAsia="仿宋_GB2312" w:cstheme="minorBidi"/>
          <w:sz w:val="32"/>
          <w:szCs w:val="32"/>
          <w:highlight w:val="none"/>
        </w:rPr>
        <w:t>本办法由后勤综合管理处负责解释。</w:t>
      </w:r>
    </w:p>
    <w:p w14:paraId="4EEE1464">
      <w:pPr>
        <w:keepNext w:val="0"/>
        <w:keepLines w:val="0"/>
        <w:pageBreakBefore w:val="0"/>
        <w:widowControl w:val="0"/>
        <w:kinsoku/>
        <w:wordWrap/>
        <w:overflowPunct w:val="0"/>
        <w:topLinePunct w:val="0"/>
        <w:autoSpaceDE/>
        <w:autoSpaceDN/>
        <w:bidi w:val="0"/>
        <w:adjustRightInd/>
        <w:snapToGrid/>
        <w:spacing w:line="600" w:lineRule="exact"/>
        <w:textAlignment w:val="auto"/>
        <w:rPr>
          <w:rFonts w:ascii="仿宋_GB2312" w:hAnsi="微软雅黑" w:eastAsia="仿宋_GB2312"/>
          <w:sz w:val="24"/>
          <w:szCs w:val="13"/>
          <w:highlight w:val="none"/>
        </w:rPr>
      </w:pPr>
    </w:p>
    <w:p w14:paraId="4152A8A7">
      <w:pPr>
        <w:keepNext w:val="0"/>
        <w:keepLines w:val="0"/>
        <w:pageBreakBefore w:val="0"/>
        <w:widowControl w:val="0"/>
        <w:kinsoku/>
        <w:wordWrap/>
        <w:overflowPunct w:val="0"/>
        <w:topLinePunct w:val="0"/>
        <w:autoSpaceDE/>
        <w:autoSpaceDN/>
        <w:bidi w:val="0"/>
        <w:adjustRightInd/>
        <w:snapToGrid/>
        <w:spacing w:line="600" w:lineRule="exact"/>
        <w:textAlignment w:val="auto"/>
        <w:rPr>
          <w:rFonts w:ascii="仿宋_GB2312" w:hAnsi="微软雅黑" w:eastAsia="仿宋_GB2312"/>
          <w:sz w:val="24"/>
          <w:szCs w:val="13"/>
          <w:highlight w:val="none"/>
        </w:rPr>
      </w:pPr>
    </w:p>
    <w:p w14:paraId="6E11A9E6">
      <w:pPr>
        <w:keepNext w:val="0"/>
        <w:keepLines w:val="0"/>
        <w:pageBreakBefore w:val="0"/>
        <w:widowControl w:val="0"/>
        <w:kinsoku/>
        <w:wordWrap/>
        <w:overflowPunct w:val="0"/>
        <w:topLinePunct w:val="0"/>
        <w:autoSpaceDE/>
        <w:autoSpaceDN/>
        <w:bidi w:val="0"/>
        <w:adjustRightInd/>
        <w:snapToGrid/>
        <w:spacing w:line="600" w:lineRule="exact"/>
        <w:textAlignment w:val="auto"/>
        <w:rPr>
          <w:rFonts w:ascii="仿宋_GB2312" w:hAnsi="微软雅黑" w:eastAsia="仿宋_GB2312"/>
          <w:sz w:val="24"/>
          <w:szCs w:val="13"/>
          <w:highlight w:val="none"/>
        </w:rPr>
      </w:pPr>
    </w:p>
    <w:p w14:paraId="294BFF24">
      <w:pPr>
        <w:keepNext w:val="0"/>
        <w:keepLines w:val="0"/>
        <w:pageBreakBefore w:val="0"/>
        <w:widowControl w:val="0"/>
        <w:kinsoku/>
        <w:wordWrap/>
        <w:overflowPunct w:val="0"/>
        <w:topLinePunct w:val="0"/>
        <w:autoSpaceDE/>
        <w:autoSpaceDN/>
        <w:bidi w:val="0"/>
        <w:adjustRightInd/>
        <w:snapToGrid/>
        <w:spacing w:line="600" w:lineRule="exact"/>
        <w:textAlignment w:val="auto"/>
        <w:rPr>
          <w:rFonts w:ascii="仿宋_GB2312" w:hAnsi="微软雅黑" w:eastAsia="仿宋_GB2312"/>
          <w:sz w:val="24"/>
          <w:szCs w:val="13"/>
          <w:highlight w:val="none"/>
        </w:rPr>
      </w:pPr>
    </w:p>
    <w:p w14:paraId="72FD5167">
      <w:pPr>
        <w:keepNext w:val="0"/>
        <w:keepLines w:val="0"/>
        <w:pageBreakBefore w:val="0"/>
        <w:widowControl w:val="0"/>
        <w:kinsoku/>
        <w:wordWrap/>
        <w:overflowPunct w:val="0"/>
        <w:topLinePunct w:val="0"/>
        <w:autoSpaceDE/>
        <w:autoSpaceDN/>
        <w:bidi w:val="0"/>
        <w:adjustRightInd/>
        <w:snapToGrid/>
        <w:spacing w:line="600" w:lineRule="exact"/>
        <w:textAlignment w:val="auto"/>
        <w:rPr>
          <w:rFonts w:ascii="仿宋_GB2312" w:hAnsi="微软雅黑" w:eastAsia="仿宋_GB2312"/>
          <w:sz w:val="24"/>
          <w:szCs w:val="13"/>
          <w:highlight w:val="none"/>
        </w:rPr>
      </w:pPr>
    </w:p>
    <w:p w14:paraId="30FF4177">
      <w:pPr>
        <w:keepNext w:val="0"/>
        <w:keepLines w:val="0"/>
        <w:pageBreakBefore w:val="0"/>
        <w:widowControl w:val="0"/>
        <w:kinsoku/>
        <w:wordWrap/>
        <w:overflowPunct w:val="0"/>
        <w:topLinePunct w:val="0"/>
        <w:autoSpaceDE/>
        <w:autoSpaceDN/>
        <w:bidi w:val="0"/>
        <w:adjustRightInd/>
        <w:snapToGrid/>
        <w:spacing w:line="600" w:lineRule="exact"/>
        <w:textAlignment w:val="auto"/>
        <w:rPr>
          <w:rFonts w:ascii="仿宋_GB2312" w:hAnsi="微软雅黑" w:eastAsia="仿宋_GB2312"/>
          <w:sz w:val="24"/>
          <w:szCs w:val="13"/>
          <w:highlight w:val="none"/>
        </w:rPr>
      </w:pPr>
    </w:p>
    <w:p w14:paraId="56C901EE">
      <w:pPr>
        <w:keepNext w:val="0"/>
        <w:keepLines w:val="0"/>
        <w:pageBreakBefore w:val="0"/>
        <w:widowControl w:val="0"/>
        <w:kinsoku/>
        <w:wordWrap/>
        <w:overflowPunct w:val="0"/>
        <w:topLinePunct w:val="0"/>
        <w:autoSpaceDE/>
        <w:autoSpaceDN/>
        <w:bidi w:val="0"/>
        <w:adjustRightInd/>
        <w:snapToGrid/>
        <w:spacing w:line="600" w:lineRule="exact"/>
        <w:textAlignment w:val="auto"/>
        <w:rPr>
          <w:rFonts w:ascii="仿宋_GB2312" w:hAnsi="微软雅黑" w:eastAsia="仿宋_GB2312"/>
          <w:sz w:val="24"/>
          <w:szCs w:val="13"/>
          <w:highlight w:val="none"/>
        </w:rPr>
      </w:pPr>
      <w:bookmarkStart w:id="1" w:name="_GoBack"/>
      <w:bookmarkEnd w:id="1"/>
    </w:p>
    <w:p w14:paraId="2F622E08">
      <w:pPr>
        <w:keepNext w:val="0"/>
        <w:keepLines w:val="0"/>
        <w:pageBreakBefore w:val="0"/>
        <w:widowControl w:val="0"/>
        <w:kinsoku/>
        <w:wordWrap/>
        <w:overflowPunct w:val="0"/>
        <w:topLinePunct w:val="0"/>
        <w:autoSpaceDE/>
        <w:autoSpaceDN/>
        <w:bidi w:val="0"/>
        <w:adjustRightInd/>
        <w:snapToGrid/>
        <w:spacing w:line="600" w:lineRule="exact"/>
        <w:ind w:right="320"/>
        <w:jc w:val="right"/>
        <w:textAlignment w:val="auto"/>
        <w:rPr>
          <w:rFonts w:ascii="微软雅黑" w:hAnsi="微软雅黑" w:eastAsia="微软雅黑"/>
          <w:sz w:val="24"/>
          <w:szCs w:val="13"/>
          <w:highlight w:val="none"/>
        </w:rPr>
      </w:pPr>
    </w:p>
    <w:p w14:paraId="22F69ED6">
      <w:pPr>
        <w:keepNext w:val="0"/>
        <w:keepLines w:val="0"/>
        <w:pageBreakBefore w:val="0"/>
        <w:widowControl w:val="0"/>
        <w:kinsoku/>
        <w:wordWrap/>
        <w:overflowPunct w:val="0"/>
        <w:topLinePunct w:val="0"/>
        <w:autoSpaceDE/>
        <w:autoSpaceDN/>
        <w:bidi w:val="0"/>
        <w:adjustRightInd/>
        <w:snapToGrid/>
        <w:spacing w:line="600" w:lineRule="exact"/>
        <w:ind w:right="320"/>
        <w:jc w:val="left"/>
        <w:textAlignment w:val="auto"/>
        <w:rPr>
          <w:rFonts w:ascii="微软雅黑" w:hAnsi="微软雅黑" w:eastAsia="微软雅黑"/>
          <w:sz w:val="24"/>
          <w:szCs w:val="13"/>
          <w:highlight w:val="none"/>
        </w:rPr>
      </w:pPr>
    </w:p>
    <w:p w14:paraId="07A323D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kern w:val="2"/>
          <w:sz w:val="44"/>
          <w:szCs w:val="44"/>
          <w:highlight w:val="none"/>
          <w:lang w:val="en-US" w:eastAsia="zh-CN" w:bidi="ar-SA"/>
        </w:rPr>
      </w:pPr>
      <w:r>
        <w:rPr>
          <w:rFonts w:hint="eastAsia" w:ascii="方正小标宋简体" w:hAnsi="方正小标宋简体" w:eastAsia="方正小标宋简体" w:cs="方正小标宋简体"/>
          <w:b w:val="0"/>
          <w:bCs/>
          <w:kern w:val="2"/>
          <w:sz w:val="44"/>
          <w:szCs w:val="44"/>
          <w:highlight w:val="none"/>
          <w:lang w:val="en-US" w:eastAsia="zh-CN" w:bidi="ar-SA"/>
        </w:rPr>
        <w:t>上海对外经贸大学第三方用户用水用能</w:t>
      </w:r>
    </w:p>
    <w:p w14:paraId="42CE44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kern w:val="2"/>
          <w:sz w:val="32"/>
          <w:szCs w:val="32"/>
          <w:highlight w:val="none"/>
          <w:lang w:val="en-US" w:eastAsia="zh-CN" w:bidi="ar-SA"/>
        </w:rPr>
      </w:pPr>
      <w:r>
        <w:rPr>
          <w:rFonts w:hint="eastAsia" w:ascii="方正小标宋简体" w:hAnsi="方正小标宋简体" w:eastAsia="方正小标宋简体" w:cs="方正小标宋简体"/>
          <w:b w:val="0"/>
          <w:bCs/>
          <w:kern w:val="2"/>
          <w:sz w:val="44"/>
          <w:szCs w:val="44"/>
          <w:highlight w:val="none"/>
          <w:lang w:val="en-US" w:eastAsia="zh-CN" w:bidi="ar-SA"/>
        </w:rPr>
        <w:t>责任书（样张）</w:t>
      </w:r>
    </w:p>
    <w:p w14:paraId="751CAD2A">
      <w:pPr>
        <w:keepNext w:val="0"/>
        <w:keepLines w:val="0"/>
        <w:pageBreakBefore w:val="0"/>
        <w:widowControl w:val="0"/>
        <w:kinsoku/>
        <w:wordWrap/>
        <w:topLinePunct w:val="0"/>
        <w:autoSpaceDE/>
        <w:autoSpaceDN/>
        <w:bidi w:val="0"/>
        <w:adjustRightInd/>
        <w:snapToGrid/>
        <w:spacing w:line="560" w:lineRule="exact"/>
        <w:jc w:val="center"/>
        <w:textAlignment w:val="auto"/>
        <w:rPr>
          <w:rFonts w:hint="eastAsia" w:ascii="仿宋_GB2312" w:hAnsi="仿宋_GB2312" w:eastAsia="仿宋_GB2312" w:cs="仿宋_GB2312"/>
          <w:b/>
          <w:kern w:val="2"/>
          <w:sz w:val="32"/>
          <w:szCs w:val="32"/>
          <w:highlight w:val="none"/>
          <w:lang w:val="en-US" w:eastAsia="zh-CN" w:bidi="ar-SA"/>
        </w:rPr>
      </w:pPr>
    </w:p>
    <w:p w14:paraId="529D0980">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甲方（引进第三方用户的单位/部门）：</w:t>
      </w:r>
      <w:r>
        <w:rPr>
          <w:rFonts w:hint="eastAsia" w:ascii="仿宋_GB2312" w:hAnsi="仿宋_GB2312" w:eastAsia="仿宋_GB2312" w:cs="仿宋_GB2312"/>
          <w:kern w:val="2"/>
          <w:sz w:val="32"/>
          <w:szCs w:val="32"/>
          <w:highlight w:val="none"/>
          <w:u w:val="single"/>
          <w:lang w:val="en-US" w:eastAsia="zh-CN" w:bidi="ar-SA"/>
        </w:rPr>
        <w:t xml:space="preserve">          </w:t>
      </w:r>
    </w:p>
    <w:p w14:paraId="788E49C7">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联系人：</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 xml:space="preserve">  </w:t>
      </w:r>
    </w:p>
    <w:p w14:paraId="2C1EFE74">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联系电话：</w:t>
      </w:r>
      <w:r>
        <w:rPr>
          <w:rFonts w:hint="eastAsia" w:ascii="仿宋_GB2312" w:hAnsi="仿宋_GB2312" w:eastAsia="仿宋_GB2312" w:cs="仿宋_GB2312"/>
          <w:kern w:val="2"/>
          <w:sz w:val="32"/>
          <w:szCs w:val="32"/>
          <w:highlight w:val="none"/>
          <w:u w:val="single"/>
          <w:lang w:val="en-US" w:eastAsia="zh-CN" w:bidi="ar-SA"/>
        </w:rPr>
        <w:t xml:space="preserve">                 </w:t>
      </w:r>
    </w:p>
    <w:p w14:paraId="2A16B6ED">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地址：上海对外经贸大学</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校区</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楼</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室</w:t>
      </w:r>
    </w:p>
    <w:p w14:paraId="151D03FE">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kern w:val="2"/>
          <w:sz w:val="32"/>
          <w:szCs w:val="32"/>
          <w:highlight w:val="none"/>
          <w:u w:val="single"/>
          <w:lang w:val="en-US" w:eastAsia="zh-CN" w:bidi="ar-SA"/>
        </w:rPr>
      </w:pPr>
      <w:r>
        <w:rPr>
          <w:rFonts w:hint="eastAsia" w:ascii="仿宋_GB2312" w:hAnsi="仿宋_GB2312" w:eastAsia="仿宋_GB2312" w:cs="仿宋_GB2312"/>
          <w:kern w:val="2"/>
          <w:sz w:val="32"/>
          <w:szCs w:val="32"/>
          <w:highlight w:val="none"/>
          <w:lang w:val="en-US" w:eastAsia="zh-CN" w:bidi="ar-SA"/>
        </w:rPr>
        <w:t>乙方（第三方用户）：</w:t>
      </w:r>
      <w:r>
        <w:rPr>
          <w:rFonts w:hint="eastAsia" w:ascii="仿宋_GB2312" w:hAnsi="仿宋_GB2312" w:eastAsia="仿宋_GB2312" w:cs="仿宋_GB2312"/>
          <w:kern w:val="2"/>
          <w:sz w:val="32"/>
          <w:szCs w:val="32"/>
          <w:highlight w:val="none"/>
          <w:u w:val="single"/>
          <w:lang w:val="en-US" w:eastAsia="zh-CN" w:bidi="ar-SA"/>
        </w:rPr>
        <w:t xml:space="preserve">                    </w:t>
      </w:r>
    </w:p>
    <w:p w14:paraId="0456D330">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 xml:space="preserve">统一社会信用代码 / 组织机构代码（若为单位）：             </w:t>
      </w:r>
    </w:p>
    <w:p w14:paraId="1A258F4B">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 xml:space="preserve"> </w:t>
      </w:r>
      <w:r>
        <w:rPr>
          <w:rFonts w:hint="eastAsia" w:ascii="仿宋_GB2312" w:hAnsi="仿宋_GB2312" w:eastAsia="仿宋_GB2312" w:cs="仿宋_GB2312"/>
          <w:kern w:val="2"/>
          <w:sz w:val="32"/>
          <w:szCs w:val="32"/>
          <w:highlight w:val="none"/>
          <w:u w:val="single"/>
          <w:lang w:val="en-US" w:eastAsia="zh-CN" w:bidi="ar-SA"/>
        </w:rPr>
        <w:t xml:space="preserve">                 </w:t>
      </w:r>
    </w:p>
    <w:p w14:paraId="5B3D6ECA">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身份证号码（若为个人）：</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 xml:space="preserve">  </w:t>
      </w:r>
    </w:p>
    <w:p w14:paraId="5BAF3DD0">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联系人：</w:t>
      </w:r>
      <w:r>
        <w:rPr>
          <w:rFonts w:hint="eastAsia" w:ascii="仿宋_GB2312" w:hAnsi="仿宋_GB2312" w:eastAsia="仿宋_GB2312" w:cs="仿宋_GB2312"/>
          <w:kern w:val="2"/>
          <w:sz w:val="32"/>
          <w:szCs w:val="32"/>
          <w:highlight w:val="none"/>
          <w:u w:val="single"/>
          <w:lang w:val="en-US" w:eastAsia="zh-CN" w:bidi="ar-SA"/>
        </w:rPr>
        <w:t xml:space="preserve">                   </w:t>
      </w:r>
    </w:p>
    <w:p w14:paraId="29B6D392">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联系电话：</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 xml:space="preserve">  </w:t>
      </w:r>
    </w:p>
    <w:p w14:paraId="749091F5">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经营/施工地址：上海对外经贸大学</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校区</w:t>
      </w:r>
    </w:p>
    <w:p w14:paraId="03A2FFB7">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区域</w:t>
      </w:r>
    </w:p>
    <w:p w14:paraId="0E20023C">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为规范乙方在上海对外经贸大学校园内的用水用能行为，明确各方权利与义务，保障学校水资源、能源的合理利用和正常供应，根据《中华人民共和国节约能源法》及《上海对外经贸大学第三方经营单位及纳入学校集中采购范围工程项目施工单位用水用能管理办法》（以下简称《管理办法》），甲、乙双方本着平等自愿、公平诚信的原则，签订本责任书。</w:t>
      </w:r>
    </w:p>
    <w:p w14:paraId="29C24DB5">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p>
    <w:p w14:paraId="4A65CAB8">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p>
    <w:p w14:paraId="47DE7532">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一、用水用能范围与设施要求</w:t>
      </w:r>
    </w:p>
    <w:p w14:paraId="76D40A5C">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b w:val="0"/>
          <w:bCs w:val="0"/>
          <w:kern w:val="2"/>
          <w:sz w:val="32"/>
          <w:szCs w:val="32"/>
          <w:highlight w:val="none"/>
          <w:lang w:val="en-US" w:eastAsia="zh-CN" w:bidi="ar-SA"/>
        </w:rPr>
      </w:pPr>
      <w:r>
        <w:rPr>
          <w:rFonts w:hint="eastAsia" w:ascii="楷体" w:hAnsi="楷体" w:eastAsia="楷体" w:cs="楷体"/>
          <w:b w:val="0"/>
          <w:bCs w:val="0"/>
          <w:kern w:val="2"/>
          <w:sz w:val="32"/>
          <w:szCs w:val="32"/>
          <w:highlight w:val="none"/>
          <w:lang w:val="en-US" w:eastAsia="zh-CN" w:bidi="ar-SA"/>
        </w:rPr>
        <w:t>1.用水用能范围</w:t>
      </w:r>
    </w:p>
    <w:p w14:paraId="27DC5037">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乙方仅可在本责任书约定的经营/施工地址（即上海对外经贸大学</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校区</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区域）内使用学校水网、电网、天然气及其他能源系统供应的水资源（含自来水、中水、地下水等，具体以实际供应类型为准）和能源（含电、天然气等，具体以实际供应类型为准），不得擅自扩大使用范围。</w:t>
      </w:r>
    </w:p>
    <w:p w14:paraId="4CCA50EC">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2.设施建设与安装</w:t>
      </w:r>
    </w:p>
    <w:p w14:paraId="333289EC">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乙方新增用水用能点位，须填写《上海对外经贸大学用水用能申请表》，经甲方确认后交至能源管理办公室（以下简称能源办）办理计量表具安装手续，经能源办批准后，乙方批准表具品牌、型号完成计量表具安装后，方可开展后续工作。</w:t>
      </w:r>
    </w:p>
    <w:p w14:paraId="440DF469">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乙方须按照能源办指定的品牌、型号安装智能计量表具，确因现场条件不足无法安装智能表具或临时用水用能的，经甲方与能源办共同确认后可安装传统计量表具。表具安装须分类到户，安装位置便于检查、更换与抄表。用水区域须加装阀门，方便检修。</w:t>
      </w:r>
    </w:p>
    <w:p w14:paraId="37E30405">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（3）学校物业协助提供供水供电接入点，乙方自行负责用水用电设施的线路敷设、配电柜安装与建设，并确保设施符合国家及学校安全标准，禁止使用国家明令淘汰的落后用水用能设施设备。</w:t>
      </w:r>
    </w:p>
    <w:p w14:paraId="5617ABA7">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4）若乙方为纳入学校集中采购范围的工程项目施工单位，须在开工前安装施工用水用电独立计量表具，经甲方与能源办共同确认后方可开工，无法独立开展水电计量的，甲方应在项目结算审计中，要求按定额扣减用水用能费用。</w:t>
      </w:r>
    </w:p>
    <w:p w14:paraId="1957D07B">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二、计量与抄表管理</w:t>
      </w:r>
    </w:p>
    <w:p w14:paraId="23E34521">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1.智能表具管理</w:t>
      </w:r>
    </w:p>
    <w:p w14:paraId="22B00155">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能源办依托系统进行远程抄表计量及收费工作，乙方可通过系统实时查询用水用能数据。</w:t>
      </w:r>
    </w:p>
    <w:p w14:paraId="673890AD">
      <w:pPr>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2.传统表具管理</w:t>
      </w:r>
    </w:p>
    <w:p w14:paraId="04EB97AC">
      <w:pPr>
        <w:keepNext w:val="0"/>
        <w:keepLines w:val="0"/>
        <w:pageBreakBefore w:val="0"/>
        <w:widowControl w:val="0"/>
        <w:numPr>
          <w:ilvl w:val="0"/>
          <w:numId w:val="0"/>
        </w:numPr>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能源办委托学校物业工作人员按期上门抄表，乙方须积极配合，对抄表数据现场确认并签字；若乙方无正当理由拒绝配合抄表，能源办有权依据上一次抄表数据及乙方用水用能规律，估算当期用量，乙方须按估算量缴纳费用，后续抄表确认实际用量后，多退少补（差额部分在下次缴费时抵扣或补缴）。</w:t>
      </w:r>
    </w:p>
    <w:p w14:paraId="2909CCFE">
      <w:pPr>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3.表具维护与异常处理</w:t>
      </w:r>
    </w:p>
    <w:p w14:paraId="4C7E9E4C">
      <w:pPr>
        <w:keepNext w:val="0"/>
        <w:keepLines w:val="0"/>
        <w:pageBreakBefore w:val="0"/>
        <w:widowControl w:val="0"/>
        <w:numPr>
          <w:ilvl w:val="0"/>
          <w:numId w:val="0"/>
        </w:numPr>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须妥善保护计量表具及相关能源设施，不得擅自改装、迁移、拆除。若发现表具遗失、损坏、计量不准或失效等情况，乙方须立即向能源办上报；经能源办记录核实后，乙方可根据能源办要求完成表具的检修或更换，检修期间若无法准确计量，按乙方前三个周期平均用量或上年同期用量（如有）核算当期费用（视具体情况由甲、乙双方协商确定，并将协商结果报能源办）。因乙方故意损坏表具导致计量异常，按《管理办法》相关规定处理。</w:t>
      </w:r>
    </w:p>
    <w:p w14:paraId="0712EE40">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三、费用缴纳</w:t>
      </w:r>
    </w:p>
    <w:p w14:paraId="4201983F">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1.缴费方式与周期</w:t>
      </w:r>
    </w:p>
    <w:p w14:paraId="4391FAEF">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经甲、乙双方协商，确定乙方采用（□预付费 □后付费）方式缴纳用水用能费用。</w:t>
      </w:r>
    </w:p>
    <w:p w14:paraId="3DBC0FF4">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预付费：乙方通过学校智慧能源系统，以微信支付方式实时充值水电气费用；系统余额临近不足时，系统将发送预警通知，余额为零时自动断电，乙方须及时充值恢复使用。</w:t>
      </w:r>
    </w:p>
    <w:p w14:paraId="0A85068F">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后付费：缴费周期为[□每月 □每季度□每年□一次性缴清(仅限工程)]，乙方须在周期结束后次月 15 日前，根据智慧能源系统显示的周期内欠费数据或能源办提供的缴费通知单(仅限人工抄表用户)，足额缴纳当期费用。</w:t>
      </w:r>
    </w:p>
    <w:p w14:paraId="621CB180">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b w:val="0"/>
          <w:bCs w:val="0"/>
          <w:kern w:val="2"/>
          <w:sz w:val="32"/>
          <w:szCs w:val="32"/>
          <w:highlight w:val="none"/>
          <w:lang w:val="en-US" w:eastAsia="zh-CN" w:bidi="ar-SA"/>
        </w:rPr>
      </w:pPr>
      <w:r>
        <w:rPr>
          <w:rFonts w:hint="eastAsia" w:ascii="楷体" w:hAnsi="楷体" w:eastAsia="楷体" w:cs="楷体"/>
          <w:b w:val="0"/>
          <w:bCs w:val="0"/>
          <w:kern w:val="2"/>
          <w:sz w:val="32"/>
          <w:szCs w:val="32"/>
          <w:highlight w:val="none"/>
          <w:lang w:val="en-US" w:eastAsia="zh-CN" w:bidi="ar-SA"/>
        </w:rPr>
        <w:t>缴费账户信息：</w:t>
      </w:r>
    </w:p>
    <w:p w14:paraId="0A96567B">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开户银行：中国工商银行上海市松江支行</w:t>
      </w:r>
    </w:p>
    <w:p w14:paraId="5F5DC2C3">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账户名称：上海对外经贸大学</w:t>
      </w:r>
    </w:p>
    <w:p w14:paraId="671753BC">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账号：1001739619300009848</w:t>
      </w:r>
    </w:p>
    <w:p w14:paraId="4C8820F7">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2.费用标准</w:t>
      </w:r>
    </w:p>
    <w:p w14:paraId="12CCF23D">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用水用能费用标准根据甲乙双方合同约定的用水用能单价执行，如合同约定按照上海物价部门核定的高校用水用能单价执行的，若遇价格调整，能源办将于收到相关部门（单位）价格调整通知当月书面通知乙方，新价格自通知中约定日期起执行。</w:t>
      </w:r>
    </w:p>
    <w:p w14:paraId="3207800B">
      <w:pPr>
        <w:keepNext w:val="0"/>
        <w:keepLines w:val="0"/>
        <w:pageBreakBefore w:val="0"/>
        <w:widowControl w:val="0"/>
        <w:kinsoku/>
        <w:wordWrap/>
        <w:topLinePunct w:val="0"/>
        <w:autoSpaceDE/>
        <w:autoSpaceDN/>
        <w:bidi w:val="0"/>
        <w:adjustRightInd/>
        <w:snapToGrid/>
        <w:spacing w:line="560" w:lineRule="exact"/>
        <w:ind w:left="1280" w:leftChars="0" w:hanging="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合同约定用水用能单价：</w:t>
      </w:r>
    </w:p>
    <w:p w14:paraId="05164407">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□按照上海物价部门核定的高校用水用能单价执行；</w:t>
      </w:r>
    </w:p>
    <w:p w14:paraId="1C2662BE">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□用电单价</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元/KW·h；（如有特殊约定，请填写单价金额）</w:t>
      </w:r>
    </w:p>
    <w:p w14:paraId="4AEFBD32">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□用水单价</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元/立方米；（如有特殊约定，请填写单价金额）</w:t>
      </w:r>
    </w:p>
    <w:p w14:paraId="33CC2952">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□用天然气单价</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元/立方米；（如有特殊约定，请填写单价金额）</w:t>
      </w:r>
    </w:p>
    <w:p w14:paraId="53C6BB31">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□其他（请说明：</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w:t>
      </w:r>
    </w:p>
    <w:p w14:paraId="1E02041C">
      <w:pPr>
        <w:keepNext w:val="0"/>
        <w:keepLines w:val="0"/>
        <w:pageBreakBefore w:val="0"/>
        <w:widowControl w:val="0"/>
        <w:kinsoku/>
        <w:wordWrap/>
        <w:topLinePunct w:val="0"/>
        <w:autoSpaceDE/>
        <w:autoSpaceDN/>
        <w:bidi w:val="0"/>
        <w:adjustRightInd/>
        <w:snapToGrid/>
        <w:spacing w:line="560" w:lineRule="exact"/>
        <w:ind w:left="0" w:leftChars="0" w:firstLine="640" w:firstLine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3.保证金与滞纳金选择（仅适用于后付费，以下情形建议二选一）</w:t>
      </w:r>
    </w:p>
    <w:p w14:paraId="35E6F30E">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□乙方选择后付费方式的，须在本责任书签订当日，向甲方缴纳</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元（不少于三个月水电费金额）作为水电保证金。甲乙双方合同终止后，若乙方无欠费、无设施损坏等情形，甲方在</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个工作日内全额退还保证金（不计利息）；若乙方存在欠费或需承担赔偿责任，甲方可从保证金中抵扣，不足部分有权向乙方追偿。</w:t>
      </w:r>
    </w:p>
    <w:p w14:paraId="66A48CC9">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□乙方未按约定时间缴纳费用的，每逾期一日，须按欠费金额的</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‰（不超过日万分之五）支付滞纳金；逾期超过</w:t>
      </w:r>
      <w:r>
        <w:rPr>
          <w:rFonts w:hint="eastAsia" w:ascii="仿宋_GB2312" w:hAnsi="仿宋_GB2312" w:eastAsia="仿宋_GB2312" w:cs="仿宋_GB2312"/>
          <w:kern w:val="2"/>
          <w:sz w:val="32"/>
          <w:szCs w:val="32"/>
          <w:highlight w:val="none"/>
          <w:u w:val="single"/>
          <w:lang w:val="en-US" w:eastAsia="zh-CN" w:bidi="ar-SA"/>
        </w:rPr>
        <w:t xml:space="preserve">      </w:t>
      </w:r>
      <w:r>
        <w:rPr>
          <w:rFonts w:hint="eastAsia" w:ascii="仿宋_GB2312" w:hAnsi="仿宋_GB2312" w:eastAsia="仿宋_GB2312" w:cs="仿宋_GB2312"/>
          <w:kern w:val="2"/>
          <w:sz w:val="32"/>
          <w:szCs w:val="32"/>
          <w:highlight w:val="none"/>
          <w:lang w:val="en-US" w:eastAsia="zh-CN" w:bidi="ar-SA"/>
        </w:rPr>
        <w:t>日的，甲方有权提交书面申请，由能源办采取断电措施，直至乙方缴清所有费用及滞纳金。</w:t>
      </w:r>
    </w:p>
    <w:p w14:paraId="14FB0228">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四、票据开具</w:t>
      </w:r>
    </w:p>
    <w:p w14:paraId="6E5AAF2A">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1.乙方按期完成用水用能费用缴费后，需向能源办提供银行转账凭证（预付费第三方用户无需提供）及开票信息，经能源办确认后向上海对外经贸大学财务处申请开具票据。</w:t>
      </w:r>
    </w:p>
    <w:p w14:paraId="48800341">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如乙方需提前开具票据后方可完成缴费，经甲方同意后，由甲方向上海对外经贸大学财务处提交预开票申请，开票后，由甲方负责监督乙方及时缴纳已开票金额，并在乙方缴纳成功后及时告知能源办完成系统欠费销账。</w:t>
      </w:r>
    </w:p>
    <w:p w14:paraId="71A8D99E">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五、日常管理</w:t>
      </w:r>
    </w:p>
    <w:p w14:paraId="43FC8D2C">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1.服从统一调度</w:t>
      </w:r>
    </w:p>
    <w:p w14:paraId="2A47A9C0">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乙方须遵守学校能源运行统一调度要求，因学校检修、改造或应急处置等需要暂停供水供能的，乙方须配合做好相关准备工作。</w:t>
      </w:r>
    </w:p>
    <w:p w14:paraId="321D5C86">
      <w:pPr>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2.设施维护与安全</w:t>
      </w:r>
    </w:p>
    <w:p w14:paraId="7D45D147">
      <w:pPr>
        <w:keepNext w:val="0"/>
        <w:keepLines w:val="0"/>
        <w:pageBreakBefore w:val="0"/>
        <w:widowControl w:val="0"/>
        <w:numPr>
          <w:ilvl w:val="0"/>
          <w:numId w:val="0"/>
        </w:numPr>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负责其管辖范围内供水、供能设备的日常维护保养，建立设备维护台账，定期检查设施安全，防止跑、冒、滴、漏等浪费现象及安全事故发生；若因乙方维护不当导致设施故障，造成学校或第三方损失的，由乙方承担全部赔偿责任。</w:t>
      </w:r>
    </w:p>
    <w:p w14:paraId="5C09C9E4">
      <w:pPr>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3.供水供能装置管理要求</w:t>
      </w:r>
    </w:p>
    <w:p w14:paraId="08C07797">
      <w:pPr>
        <w:keepNext w:val="0"/>
        <w:keepLines w:val="0"/>
        <w:pageBreakBefore w:val="0"/>
        <w:widowControl w:val="0"/>
        <w:numPr>
          <w:ilvl w:val="0"/>
          <w:numId w:val="0"/>
        </w:numPr>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不得擅自转供水电等能源给第三方或与第三方共用；不得在装饰、装修过程中妨碍表具抄表、维护与更换；乙方不得私自添加大功率用电设备（超过现有负荷10%），如确实因业务需要增加用电设备，需提交相关设备增容申请，在得到能源办同意后方可实施，如涉及供电线路无法满足增容负荷，相关供电线路改造费用由乙方负责落实，线路新增表具参照新增用水用能申请相关要求执行，工程项目临时用水用能结束后，乙方须付清全部费用，并拆除临时供水、供电装置，经甲方和能源办共同验收合格后方可办理后续手续。</w:t>
      </w:r>
    </w:p>
    <w:p w14:paraId="6728846F">
      <w:pPr>
        <w:keepNext w:val="0"/>
        <w:keepLines w:val="0"/>
        <w:pageBreakBefore w:val="0"/>
        <w:widowControl w:val="0"/>
        <w:numPr>
          <w:ilvl w:val="0"/>
          <w:numId w:val="0"/>
        </w:numPr>
        <w:kinsoku/>
        <w:wordWrap/>
        <w:topLinePunct w:val="0"/>
        <w:autoSpaceDE/>
        <w:autoSpaceDN/>
        <w:bidi w:val="0"/>
        <w:adjustRightInd/>
        <w:snapToGrid/>
        <w:spacing w:line="560" w:lineRule="exact"/>
        <w:ind w:left="640" w:leftChars="0"/>
        <w:jc w:val="left"/>
        <w:textAlignment w:val="auto"/>
        <w:rPr>
          <w:rFonts w:hint="eastAsia" w:ascii="楷体" w:hAnsi="楷体" w:eastAsia="楷体" w:cs="楷体"/>
          <w:kern w:val="2"/>
          <w:sz w:val="32"/>
          <w:szCs w:val="32"/>
          <w:highlight w:val="none"/>
          <w:lang w:val="en-US" w:eastAsia="zh-CN" w:bidi="ar-SA"/>
        </w:rPr>
      </w:pPr>
      <w:r>
        <w:rPr>
          <w:rFonts w:hint="eastAsia" w:ascii="楷体" w:hAnsi="楷体" w:eastAsia="楷体" w:cs="楷体"/>
          <w:kern w:val="2"/>
          <w:sz w:val="32"/>
          <w:szCs w:val="32"/>
          <w:highlight w:val="none"/>
          <w:lang w:val="en-US" w:eastAsia="zh-CN" w:bidi="ar-SA"/>
        </w:rPr>
        <w:t>4.制度建设</w:t>
      </w:r>
    </w:p>
    <w:p w14:paraId="51A9DD07">
      <w:pPr>
        <w:keepNext w:val="0"/>
        <w:keepLines w:val="0"/>
        <w:pageBreakBefore w:val="0"/>
        <w:widowControl w:val="0"/>
        <w:numPr>
          <w:ilvl w:val="0"/>
          <w:numId w:val="0"/>
        </w:numPr>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乙方须根据《管理办法》及本责任书约定，制定本单位节约用水用能规章制度，明确专人负责用水用能管理。</w:t>
      </w:r>
    </w:p>
    <w:p w14:paraId="7B5F907E">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六、违规处理</w:t>
      </w:r>
    </w:p>
    <w:p w14:paraId="260CF20E">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若乙方存在《管理办法》第十七条所列窃水窃能行（包括但不限于擅自接管拉线、绕越计量装置、损坏计量表具等），甲方有权责令乙方立即整改，并依据恢复正常计量后一年中用水、用能量最高月份数据，一次性补缴一年全部费用。</w:t>
      </w:r>
    </w:p>
    <w:p w14:paraId="2072CCF1">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因乙方违章用水用能导致停水停电，影响学校正常教学、科研或其他用户用水用能的，乙方须承担由此造成的全部损失（包括但不限于设施维修费用、第三方索赔费用等），甲方有权依据相关合同约定追究乙方违约责任。</w:t>
      </w:r>
    </w:p>
    <w:p w14:paraId="009A0450">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七、责任书期限</w:t>
      </w:r>
    </w:p>
    <w:p w14:paraId="1631DC44">
      <w:pPr>
        <w:keepNext w:val="0"/>
        <w:keepLines w:val="0"/>
        <w:pageBreakBefore w:val="0"/>
        <w:widowControl w:val="0"/>
        <w:kinsoku/>
        <w:wordWrap/>
        <w:topLinePunct w:val="0"/>
        <w:autoSpaceDE/>
        <w:autoSpaceDN/>
        <w:bidi w:val="0"/>
        <w:adjustRightInd/>
        <w:snapToGrid/>
        <w:spacing w:line="560" w:lineRule="exact"/>
        <w:ind w:left="1280" w:leftChars="0" w:hanging="640"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1.本责任书期限自签署之日起生效。</w:t>
      </w:r>
    </w:p>
    <w:p w14:paraId="00BC0D1B">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2.若甲乙双方中一方需终止合同，合同终止前，乙方须缴清所有用水用能费用，完成设施清理与交接，经甲方与能源办共同验收合格后，方可办理离场手续，本责任书随甲乙双方主合同终止一并终止。</w:t>
      </w:r>
    </w:p>
    <w:p w14:paraId="54B18BEF">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3.乙方出现下列情形之一的，已缴纳的保证金不予退还（若有），乙方还须承担违约责任：</w:t>
      </w:r>
    </w:p>
    <w:p w14:paraId="1434F749">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（1）累计三次及以上未按约定缴纳费用，经催告后仍不补缴的；</w:t>
      </w:r>
    </w:p>
    <w:p w14:paraId="5D3F1DFD">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（2）存在窃水窃能行为，整改后再次违规的；</w:t>
      </w:r>
    </w:p>
    <w:p w14:paraId="23F4115B">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（3）因乙方原因造成重大安全事故或严重影响学校正常秩序的。</w:t>
      </w:r>
    </w:p>
    <w:p w14:paraId="6FE2A6FA">
      <w:pPr>
        <w:keepNext w:val="0"/>
        <w:keepLines w:val="0"/>
        <w:pageBreakBefore w:val="0"/>
        <w:widowControl w:val="0"/>
        <w:kinsoku/>
        <w:wordWrap/>
        <w:topLinePunct w:val="0"/>
        <w:autoSpaceDE/>
        <w:autoSpaceDN/>
        <w:bidi w:val="0"/>
        <w:adjustRightInd/>
        <w:snapToGrid/>
        <w:spacing w:line="560" w:lineRule="exact"/>
        <w:ind w:firstLine="640" w:firstLineChars="0"/>
        <w:jc w:val="left"/>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八、其他</w:t>
      </w:r>
    </w:p>
    <w:p w14:paraId="7ABF78CC">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1.《管理办法》为本责任书组成部分，与本责任书具有同等法律效力；若《管理办法》修订，本责任书相关条款自动按修订后内容执行。</w:t>
      </w:r>
    </w:p>
    <w:p w14:paraId="49126771">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2.本责任书一式三份，甲方、乙方各执一份，一份交至能源办备案，自甲乙双方签署之日起生效，如责任人职务变动，由接任者担任责任书所列相关事项。</w:t>
      </w:r>
    </w:p>
    <w:p w14:paraId="5A190BC4">
      <w:pPr>
        <w:keepNext w:val="0"/>
        <w:keepLines w:val="0"/>
        <w:pageBreakBefore w:val="0"/>
        <w:widowControl w:val="0"/>
        <w:kinsoku/>
        <w:wordWrap/>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highlight w:val="none"/>
          <w:lang w:val="en-US" w:eastAsia="zh-CN" w:bidi="ar-SA"/>
        </w:rPr>
      </w:pPr>
    </w:p>
    <w:p w14:paraId="7E7FDC68">
      <w:pPr>
        <w:keepNext w:val="0"/>
        <w:keepLines w:val="0"/>
        <w:pageBreakBefore w:val="0"/>
        <w:widowControl w:val="0"/>
        <w:kinsoku/>
        <w:wordWrap/>
        <w:topLinePunct w:val="0"/>
        <w:autoSpaceDE/>
        <w:autoSpaceDN/>
        <w:bidi w:val="0"/>
        <w:adjustRightInd/>
        <w:snapToGrid/>
        <w:spacing w:line="560" w:lineRule="exact"/>
        <w:ind w:leftChars="1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甲方（盖章）：                乙方（盖章）：</w:t>
      </w:r>
    </w:p>
    <w:p w14:paraId="55846D11">
      <w:pPr>
        <w:keepNext w:val="0"/>
        <w:keepLines w:val="0"/>
        <w:pageBreakBefore w:val="0"/>
        <w:widowControl w:val="0"/>
        <w:kinsoku/>
        <w:wordWrap/>
        <w:topLinePunct w:val="0"/>
        <w:autoSpaceDE/>
        <w:autoSpaceDN/>
        <w:bidi w:val="0"/>
        <w:adjustRightInd/>
        <w:snapToGrid/>
        <w:spacing w:line="560" w:lineRule="exact"/>
        <w:ind w:leftChars="100"/>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负责人（签字）：              负责人（签字）：</w:t>
      </w:r>
    </w:p>
    <w:p w14:paraId="3B740499">
      <w:pPr>
        <w:keepNext w:val="0"/>
        <w:keepLines w:val="0"/>
        <w:pageBreakBefore w:val="0"/>
        <w:widowControl w:val="0"/>
        <w:kinsoku/>
        <w:wordWrap/>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highlight w:val="none"/>
          <w:lang w:val="en-US" w:eastAsia="zh-CN" w:bidi="ar-SA"/>
        </w:rPr>
      </w:pPr>
    </w:p>
    <w:p w14:paraId="7D35FD9C">
      <w:pPr>
        <w:keepNext w:val="0"/>
        <w:keepLines w:val="0"/>
        <w:pageBreakBefore w:val="0"/>
        <w:widowControl w:val="0"/>
        <w:kinsoku/>
        <w:wordWrap/>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签订日期：   年  月  日       签订日期：   年  月  日</w:t>
      </w:r>
    </w:p>
    <w:p w14:paraId="4AD8DD90">
      <w:pPr>
        <w:keepNext w:val="0"/>
        <w:keepLines w:val="0"/>
        <w:pageBreakBefore w:val="0"/>
        <w:widowControl w:val="0"/>
        <w:kinsoku/>
        <w:wordWrap/>
        <w:overflowPunct w:val="0"/>
        <w:topLinePunct w:val="0"/>
        <w:autoSpaceDE/>
        <w:autoSpaceDN/>
        <w:bidi w:val="0"/>
        <w:adjustRightInd/>
        <w:snapToGrid/>
        <w:spacing w:line="560" w:lineRule="exact"/>
        <w:ind w:right="320"/>
        <w:jc w:val="left"/>
        <w:textAlignment w:val="auto"/>
        <w:rPr>
          <w:rFonts w:ascii="微软雅黑" w:hAnsi="微软雅黑" w:eastAsia="微软雅黑"/>
          <w:sz w:val="24"/>
          <w:szCs w:val="13"/>
          <w:highlight w:val="none"/>
        </w:rPr>
      </w:pPr>
    </w:p>
    <w:p w14:paraId="71A143F5">
      <w:pPr>
        <w:bidi w:val="0"/>
        <w:rPr>
          <w:rFonts w:ascii="Times New Roman" w:hAnsi="Times New Roman" w:eastAsia="宋体" w:cs="Times New Roman"/>
          <w:kern w:val="2"/>
          <w:sz w:val="21"/>
          <w:lang w:val="en-US" w:eastAsia="zh-CN" w:bidi="ar-SA"/>
        </w:rPr>
      </w:pPr>
    </w:p>
    <w:p w14:paraId="32F89D69">
      <w:pPr>
        <w:bidi w:val="0"/>
        <w:rPr>
          <w:lang w:val="en-US" w:eastAsia="zh-CN"/>
        </w:rPr>
      </w:pPr>
    </w:p>
    <w:p w14:paraId="471EDC11">
      <w:pPr>
        <w:bidi w:val="0"/>
        <w:rPr>
          <w:lang w:val="en-US" w:eastAsia="zh-CN"/>
        </w:rPr>
      </w:pPr>
    </w:p>
    <w:p w14:paraId="77A50E94">
      <w:pPr>
        <w:bidi w:val="0"/>
        <w:rPr>
          <w:lang w:val="en-US" w:eastAsia="zh-CN"/>
        </w:rPr>
      </w:pPr>
    </w:p>
    <w:p w14:paraId="68DCB5EA">
      <w:pPr>
        <w:bidi w:val="0"/>
        <w:rPr>
          <w:lang w:val="en-US" w:eastAsia="zh-CN"/>
        </w:rPr>
      </w:pPr>
    </w:p>
    <w:p w14:paraId="5BFB797D">
      <w:pPr>
        <w:bidi w:val="0"/>
        <w:rPr>
          <w:lang w:val="en-US" w:eastAsia="zh-CN"/>
        </w:rPr>
      </w:pPr>
    </w:p>
    <w:p w14:paraId="2210248E">
      <w:pPr>
        <w:bidi w:val="0"/>
        <w:rPr>
          <w:lang w:val="en-US" w:eastAsia="zh-CN"/>
        </w:rPr>
      </w:pPr>
    </w:p>
    <w:p w14:paraId="35546B7C">
      <w:pPr>
        <w:bidi w:val="0"/>
        <w:rPr>
          <w:lang w:val="en-US" w:eastAsia="zh-CN"/>
        </w:rPr>
      </w:pPr>
    </w:p>
    <w:p w14:paraId="3B7CA4DD">
      <w:pPr>
        <w:bidi w:val="0"/>
        <w:rPr>
          <w:lang w:val="en-US" w:eastAsia="zh-CN"/>
        </w:rPr>
      </w:pPr>
    </w:p>
    <w:p w14:paraId="69CD810D">
      <w:pPr>
        <w:bidi w:val="0"/>
        <w:rPr>
          <w:lang w:val="en-US" w:eastAsia="zh-CN"/>
        </w:rPr>
      </w:pPr>
    </w:p>
    <w:p w14:paraId="4DF263C9">
      <w:pPr>
        <w:bidi w:val="0"/>
        <w:rPr>
          <w:lang w:val="en-US" w:eastAsia="zh-CN"/>
        </w:rPr>
      </w:pPr>
    </w:p>
    <w:p w14:paraId="204790DE">
      <w:pPr>
        <w:bidi w:val="0"/>
        <w:rPr>
          <w:lang w:val="en-US" w:eastAsia="zh-CN"/>
        </w:rPr>
      </w:pPr>
    </w:p>
    <w:p w14:paraId="547AB08D">
      <w:pPr>
        <w:bidi w:val="0"/>
        <w:rPr>
          <w:lang w:val="en-US" w:eastAsia="zh-CN"/>
        </w:rPr>
      </w:pPr>
    </w:p>
    <w:p w14:paraId="1BA53C13">
      <w:pPr>
        <w:bidi w:val="0"/>
        <w:rPr>
          <w:lang w:val="en-US" w:eastAsia="zh-CN"/>
        </w:rPr>
      </w:pPr>
    </w:p>
    <w:p w14:paraId="381D4317">
      <w:pPr>
        <w:bidi w:val="0"/>
        <w:rPr>
          <w:lang w:val="en-US" w:eastAsia="zh-CN"/>
        </w:rPr>
      </w:pPr>
    </w:p>
    <w:p w14:paraId="1A3DB7C2">
      <w:pPr>
        <w:bidi w:val="0"/>
        <w:rPr>
          <w:lang w:val="en-US" w:eastAsia="zh-CN"/>
        </w:rPr>
      </w:pPr>
    </w:p>
    <w:p w14:paraId="6E0E61AB">
      <w:pPr>
        <w:bidi w:val="0"/>
        <w:rPr>
          <w:lang w:val="en-US" w:eastAsia="zh-CN"/>
        </w:rPr>
      </w:pPr>
    </w:p>
    <w:p w14:paraId="41CD3232">
      <w:pPr>
        <w:bidi w:val="0"/>
        <w:rPr>
          <w:lang w:val="en-US" w:eastAsia="zh-CN"/>
        </w:rPr>
      </w:pPr>
    </w:p>
    <w:p w14:paraId="4C9E2DB7">
      <w:pPr>
        <w:bidi w:val="0"/>
        <w:rPr>
          <w:lang w:val="en-US" w:eastAsia="zh-CN"/>
        </w:rPr>
      </w:pPr>
    </w:p>
    <w:p w14:paraId="3208E3A8">
      <w:pPr>
        <w:bidi w:val="0"/>
        <w:rPr>
          <w:lang w:val="en-US" w:eastAsia="zh-CN"/>
        </w:rPr>
      </w:pPr>
    </w:p>
    <w:p w14:paraId="3DDB8C60">
      <w:pPr>
        <w:tabs>
          <w:tab w:val="left" w:pos="741"/>
        </w:tabs>
        <w:bidi w:val="0"/>
        <w:jc w:val="left"/>
        <w:rPr>
          <w:rFonts w:hint="eastAsia"/>
          <w:lang w:val="en-US" w:eastAsia="zh-CN"/>
        </w:rPr>
      </w:pPr>
      <w:r>
        <w:rPr>
          <w:rFonts w:hint="eastAsia"/>
          <w:lang w:val="en-US" w:eastAsia="zh-CN"/>
        </w:rPr>
        <w:tab/>
      </w:r>
    </w:p>
    <w:p w14:paraId="64255CBF">
      <w:pPr>
        <w:tabs>
          <w:tab w:val="left" w:pos="741"/>
        </w:tabs>
        <w:bidi w:val="0"/>
        <w:jc w:val="left"/>
        <w:rPr>
          <w:rFonts w:hint="eastAsia"/>
          <w:lang w:val="en-US" w:eastAsia="zh-CN"/>
        </w:rPr>
      </w:pPr>
    </w:p>
    <w:p w14:paraId="1AFCE688">
      <w:pPr>
        <w:tabs>
          <w:tab w:val="left" w:pos="741"/>
        </w:tabs>
        <w:bidi w:val="0"/>
        <w:jc w:val="left"/>
        <w:rPr>
          <w:rFonts w:hint="eastAsia"/>
          <w:lang w:val="en-US" w:eastAsia="zh-CN"/>
        </w:rPr>
      </w:pPr>
    </w:p>
    <w:p w14:paraId="2B9430A1">
      <w:pPr>
        <w:tabs>
          <w:tab w:val="left" w:pos="741"/>
        </w:tabs>
        <w:bidi w:val="0"/>
        <w:jc w:val="left"/>
        <w:rPr>
          <w:rFonts w:hint="eastAsia"/>
          <w:lang w:val="en-US" w:eastAsia="zh-CN"/>
        </w:rPr>
      </w:pPr>
    </w:p>
    <w:p w14:paraId="11304880">
      <w:pPr>
        <w:tabs>
          <w:tab w:val="left" w:pos="741"/>
        </w:tabs>
        <w:bidi w:val="0"/>
        <w:jc w:val="left"/>
        <w:rPr>
          <w:rFonts w:hint="eastAsia"/>
          <w:lang w:val="en-US" w:eastAsia="zh-CN"/>
        </w:rPr>
      </w:pPr>
    </w:p>
    <w:p w14:paraId="06C51968">
      <w:pPr>
        <w:pStyle w:val="4"/>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上海对外经贸大学</w:t>
      </w:r>
      <w:r>
        <w:rPr>
          <w:rFonts w:hint="eastAsia" w:ascii="方正小标宋简体" w:hAnsi="方正小标宋简体" w:eastAsia="方正小标宋简体" w:cs="方正小标宋简体"/>
          <w:b w:val="0"/>
          <w:bCs w:val="0"/>
          <w:sz w:val="44"/>
          <w:szCs w:val="44"/>
          <w:lang w:val="en-US" w:eastAsia="zh-CN"/>
        </w:rPr>
        <w:t>新增</w:t>
      </w:r>
      <w:r>
        <w:rPr>
          <w:rFonts w:hint="eastAsia" w:ascii="方正小标宋简体" w:hAnsi="方正小标宋简体" w:eastAsia="方正小标宋简体" w:cs="方正小标宋简体"/>
          <w:b w:val="0"/>
          <w:bCs w:val="0"/>
          <w:sz w:val="44"/>
          <w:szCs w:val="44"/>
        </w:rPr>
        <w:t>用水用能申请表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1"/>
        <w:gridCol w:w="1065"/>
        <w:gridCol w:w="3810"/>
      </w:tblGrid>
      <w:tr w14:paraId="3B006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3421" w:type="dxa"/>
            <w:vAlign w:val="center"/>
          </w:tcPr>
          <w:p w14:paraId="6A603EB2">
            <w:pPr>
              <w:overflowPunct w:val="0"/>
              <w:spacing w:line="360" w:lineRule="auto"/>
              <w:jc w:val="center"/>
              <w:rPr>
                <w:rFonts w:hint="eastAsia" w:ascii="仿宋_GB2312" w:hAnsi="仿宋_GB2312" w:eastAsia="仿宋_GB2312" w:cs="仿宋_GB2312"/>
                <w:sz w:val="24"/>
                <w:szCs w:val="13"/>
              </w:rPr>
            </w:pPr>
            <w:r>
              <w:rPr>
                <w:rFonts w:hint="eastAsia" w:ascii="仿宋_GB2312" w:hAnsi="仿宋_GB2312" w:eastAsia="仿宋_GB2312" w:cs="仿宋_GB2312"/>
                <w:sz w:val="28"/>
                <w:szCs w:val="15"/>
                <w:lang w:val="en-US" w:eastAsia="zh-CN"/>
              </w:rPr>
              <w:t>第三方</w:t>
            </w:r>
            <w:r>
              <w:rPr>
                <w:rFonts w:hint="eastAsia" w:ascii="仿宋_GB2312" w:hAnsi="仿宋_GB2312" w:eastAsia="仿宋_GB2312" w:cs="仿宋_GB2312"/>
                <w:sz w:val="28"/>
                <w:szCs w:val="15"/>
              </w:rPr>
              <w:t>用户单位名称</w:t>
            </w:r>
          </w:p>
        </w:tc>
        <w:tc>
          <w:tcPr>
            <w:tcW w:w="4875" w:type="dxa"/>
            <w:gridSpan w:val="2"/>
          </w:tcPr>
          <w:p w14:paraId="35F131ED">
            <w:pPr>
              <w:overflowPunct w:val="0"/>
              <w:spacing w:line="360" w:lineRule="auto"/>
              <w:ind w:right="1200"/>
              <w:rPr>
                <w:rFonts w:hint="eastAsia" w:ascii="仿宋_GB2312" w:hAnsi="仿宋_GB2312" w:eastAsia="仿宋_GB2312" w:cs="仿宋_GB2312"/>
                <w:sz w:val="24"/>
                <w:szCs w:val="13"/>
              </w:rPr>
            </w:pPr>
          </w:p>
        </w:tc>
      </w:tr>
      <w:tr w14:paraId="4B259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1" w:type="dxa"/>
            <w:vAlign w:val="center"/>
          </w:tcPr>
          <w:p w14:paraId="2310B18D">
            <w:pPr>
              <w:overflowPunct w:val="0"/>
              <w:spacing w:line="360" w:lineRule="auto"/>
              <w:jc w:val="center"/>
              <w:rPr>
                <w:rFonts w:hint="eastAsia" w:ascii="仿宋_GB2312" w:hAnsi="仿宋_GB2312" w:eastAsia="仿宋_GB2312" w:cs="仿宋_GB2312"/>
                <w:sz w:val="24"/>
                <w:szCs w:val="13"/>
              </w:rPr>
            </w:pPr>
            <w:r>
              <w:rPr>
                <w:rFonts w:hint="eastAsia" w:ascii="仿宋_GB2312" w:hAnsi="仿宋_GB2312" w:eastAsia="仿宋_GB2312" w:cs="仿宋_GB2312"/>
                <w:sz w:val="28"/>
                <w:szCs w:val="15"/>
              </w:rPr>
              <w:t>用能类别</w:t>
            </w:r>
          </w:p>
        </w:tc>
        <w:tc>
          <w:tcPr>
            <w:tcW w:w="4875" w:type="dxa"/>
            <w:gridSpan w:val="2"/>
          </w:tcPr>
          <w:p w14:paraId="6E450D97">
            <w:pPr>
              <w:overflowPunct w:val="0"/>
              <w:spacing w:line="360" w:lineRule="auto"/>
              <w:ind w:right="1200"/>
              <w:rPr>
                <w:rFonts w:hint="eastAsia" w:ascii="仿宋_GB2312" w:hAnsi="仿宋_GB2312" w:eastAsia="仿宋_GB2312" w:cs="仿宋_GB2312"/>
                <w:sz w:val="24"/>
                <w:szCs w:val="13"/>
              </w:rPr>
            </w:pPr>
            <w:r>
              <w:rPr>
                <w:rFonts w:hint="eastAsia" w:ascii="仿宋_GB2312" w:hAnsi="仿宋_GB2312" w:eastAsia="仿宋_GB2312" w:cs="仿宋_GB2312"/>
                <w:sz w:val="24"/>
                <w:szCs w:val="13"/>
              </w:rPr>
              <w:t xml:space="preserve"> </w:t>
            </w:r>
            <w:r>
              <w:rPr>
                <w:rFonts w:hint="eastAsia" w:ascii="仿宋_GB2312" w:hAnsi="仿宋_GB2312" w:eastAsia="仿宋_GB2312" w:cs="仿宋_GB2312"/>
                <w:sz w:val="24"/>
                <w:szCs w:val="13"/>
              </w:rPr>
              <w:sym w:font="Wingdings 2" w:char="00A3"/>
            </w:r>
            <w:r>
              <w:rPr>
                <w:rFonts w:hint="eastAsia" w:ascii="仿宋_GB2312" w:hAnsi="仿宋_GB2312" w:eastAsia="仿宋_GB2312" w:cs="仿宋_GB2312"/>
                <w:sz w:val="28"/>
                <w:szCs w:val="15"/>
              </w:rPr>
              <w:t xml:space="preserve">水 </w:t>
            </w:r>
            <w:r>
              <w:rPr>
                <w:rFonts w:hint="eastAsia" w:ascii="仿宋_GB2312" w:hAnsi="仿宋_GB2312" w:eastAsia="仿宋_GB2312" w:cs="仿宋_GB2312"/>
                <w:sz w:val="32"/>
                <w:szCs w:val="16"/>
                <w:lang w:val="en-US" w:eastAsia="zh-CN"/>
              </w:rPr>
              <w:t xml:space="preserve">   </w:t>
            </w:r>
            <w:r>
              <w:rPr>
                <w:rFonts w:hint="eastAsia" w:ascii="仿宋_GB2312" w:hAnsi="仿宋_GB2312" w:eastAsia="仿宋_GB2312" w:cs="仿宋_GB2312"/>
                <w:sz w:val="32"/>
                <w:szCs w:val="16"/>
              </w:rPr>
              <w:sym w:font="Wingdings 2" w:char="00A3"/>
            </w:r>
            <w:r>
              <w:rPr>
                <w:rFonts w:hint="eastAsia" w:ascii="仿宋_GB2312" w:hAnsi="仿宋_GB2312" w:eastAsia="仿宋_GB2312" w:cs="仿宋_GB2312"/>
                <w:sz w:val="28"/>
                <w:szCs w:val="15"/>
              </w:rPr>
              <w:t xml:space="preserve">电 </w:t>
            </w:r>
            <w:r>
              <w:rPr>
                <w:rFonts w:hint="eastAsia" w:ascii="仿宋_GB2312" w:hAnsi="仿宋_GB2312" w:eastAsia="仿宋_GB2312" w:cs="仿宋_GB2312"/>
                <w:sz w:val="32"/>
                <w:szCs w:val="16"/>
              </w:rPr>
              <w:t xml:space="preserve"> </w:t>
            </w:r>
            <w:r>
              <w:rPr>
                <w:rFonts w:hint="eastAsia" w:ascii="仿宋_GB2312" w:hAnsi="仿宋_GB2312" w:eastAsia="仿宋_GB2312" w:cs="仿宋_GB2312"/>
                <w:sz w:val="32"/>
                <w:szCs w:val="16"/>
                <w:lang w:val="en-US" w:eastAsia="zh-CN"/>
              </w:rPr>
              <w:t xml:space="preserve"> </w:t>
            </w:r>
            <w:r>
              <w:rPr>
                <w:rFonts w:hint="eastAsia" w:ascii="仿宋_GB2312" w:hAnsi="仿宋_GB2312" w:eastAsia="仿宋_GB2312" w:cs="仿宋_GB2312"/>
                <w:sz w:val="32"/>
                <w:szCs w:val="16"/>
              </w:rPr>
              <w:sym w:font="Wingdings 2" w:char="00A3"/>
            </w:r>
            <w:r>
              <w:rPr>
                <w:rFonts w:hint="eastAsia" w:ascii="仿宋_GB2312" w:hAnsi="仿宋_GB2312" w:eastAsia="仿宋_GB2312" w:cs="仿宋_GB2312"/>
                <w:sz w:val="28"/>
                <w:szCs w:val="15"/>
              </w:rPr>
              <w:t>天然气</w:t>
            </w:r>
          </w:p>
        </w:tc>
      </w:tr>
      <w:tr w14:paraId="65F54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2" w:hRule="atLeast"/>
          <w:jc w:val="center"/>
        </w:trPr>
        <w:tc>
          <w:tcPr>
            <w:tcW w:w="8296" w:type="dxa"/>
            <w:gridSpan w:val="3"/>
          </w:tcPr>
          <w:p w14:paraId="4CB9009F">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eastAsia" w:ascii="仿宋_GB2312" w:hAnsi="仿宋_GB2312" w:eastAsia="仿宋_GB2312" w:cs="仿宋_GB2312"/>
                <w:sz w:val="28"/>
                <w:szCs w:val="15"/>
              </w:rPr>
            </w:pPr>
            <w:r>
              <w:rPr>
                <w:rFonts w:hint="eastAsia" w:ascii="仿宋_GB2312" w:hAnsi="仿宋_GB2312" w:eastAsia="仿宋_GB2312" w:cs="仿宋_GB2312"/>
                <w:sz w:val="28"/>
                <w:szCs w:val="15"/>
                <w:lang w:val="en-US" w:eastAsia="zh-CN"/>
              </w:rPr>
              <w:t>第三方用户</w:t>
            </w:r>
            <w:r>
              <w:rPr>
                <w:rFonts w:hint="eastAsia" w:ascii="仿宋_GB2312" w:hAnsi="仿宋_GB2312" w:eastAsia="仿宋_GB2312" w:cs="仿宋_GB2312"/>
                <w:sz w:val="28"/>
                <w:szCs w:val="15"/>
              </w:rPr>
              <w:t>用水用能说明（需详细说明使用水资源或能源的相关设备</w:t>
            </w:r>
            <w:r>
              <w:rPr>
                <w:rFonts w:hint="eastAsia" w:ascii="仿宋_GB2312" w:hAnsi="仿宋_GB2312" w:eastAsia="仿宋_GB2312" w:cs="仿宋_GB2312"/>
                <w:sz w:val="28"/>
                <w:szCs w:val="15"/>
                <w:lang w:val="en-US" w:eastAsia="zh-CN"/>
              </w:rPr>
              <w:t>电压、</w:t>
            </w:r>
            <w:r>
              <w:rPr>
                <w:rFonts w:hint="eastAsia" w:ascii="仿宋_GB2312" w:hAnsi="仿宋_GB2312" w:eastAsia="仿宋_GB2312" w:cs="仿宋_GB2312"/>
                <w:sz w:val="28"/>
                <w:szCs w:val="15"/>
              </w:rPr>
              <w:t>功率、</w:t>
            </w:r>
            <w:r>
              <w:rPr>
                <w:rFonts w:hint="eastAsia" w:ascii="仿宋_GB2312" w:hAnsi="仿宋_GB2312" w:eastAsia="仿宋_GB2312" w:cs="仿宋_GB2312"/>
                <w:sz w:val="28"/>
                <w:szCs w:val="15"/>
                <w:lang w:val="en-US" w:eastAsia="zh-CN"/>
              </w:rPr>
              <w:t>管径、</w:t>
            </w:r>
            <w:r>
              <w:rPr>
                <w:rFonts w:hint="eastAsia" w:ascii="仿宋_GB2312" w:hAnsi="仿宋_GB2312" w:eastAsia="仿宋_GB2312" w:cs="仿宋_GB2312"/>
                <w:sz w:val="28"/>
                <w:szCs w:val="15"/>
              </w:rPr>
              <w:t>参数</w:t>
            </w:r>
            <w:r>
              <w:rPr>
                <w:rFonts w:hint="eastAsia" w:ascii="仿宋_GB2312" w:hAnsi="仿宋_GB2312" w:eastAsia="仿宋_GB2312" w:cs="仿宋_GB2312"/>
                <w:sz w:val="28"/>
                <w:szCs w:val="15"/>
                <w:lang w:eastAsia="zh-CN"/>
              </w:rPr>
              <w:t>、</w:t>
            </w:r>
            <w:r>
              <w:rPr>
                <w:rFonts w:hint="eastAsia" w:ascii="仿宋_GB2312" w:hAnsi="仿宋_GB2312" w:eastAsia="仿宋_GB2312" w:cs="仿宋_GB2312"/>
                <w:sz w:val="28"/>
                <w:szCs w:val="15"/>
                <w:lang w:val="en-US" w:eastAsia="zh-CN"/>
              </w:rPr>
              <w:t>区域</w:t>
            </w:r>
            <w:r>
              <w:rPr>
                <w:rFonts w:hint="eastAsia" w:ascii="仿宋_GB2312" w:hAnsi="仿宋_GB2312" w:eastAsia="仿宋_GB2312" w:cs="仿宋_GB2312"/>
                <w:sz w:val="28"/>
                <w:szCs w:val="15"/>
              </w:rPr>
              <w:t>及用水用能必要性）：</w:t>
            </w:r>
          </w:p>
          <w:p w14:paraId="74374A0A">
            <w:pPr>
              <w:keepNext w:val="0"/>
              <w:keepLines w:val="0"/>
              <w:pageBreakBefore w:val="0"/>
              <w:widowControl w:val="0"/>
              <w:kinsoku/>
              <w:wordWrap/>
              <w:overflowPunct w:val="0"/>
              <w:topLinePunct w:val="0"/>
              <w:autoSpaceDE/>
              <w:autoSpaceDN/>
              <w:bidi w:val="0"/>
              <w:adjustRightInd/>
              <w:snapToGrid/>
              <w:spacing w:line="360" w:lineRule="exact"/>
              <w:textAlignment w:val="auto"/>
              <w:rPr>
                <w:rFonts w:hint="eastAsia" w:ascii="仿宋_GB2312" w:hAnsi="仿宋_GB2312" w:eastAsia="仿宋_GB2312" w:cs="仿宋_GB2312"/>
                <w:sz w:val="24"/>
                <w:szCs w:val="13"/>
              </w:rPr>
            </w:pPr>
          </w:p>
          <w:p w14:paraId="20E81A75">
            <w:pPr>
              <w:keepNext w:val="0"/>
              <w:keepLines w:val="0"/>
              <w:pageBreakBefore w:val="0"/>
              <w:widowControl w:val="0"/>
              <w:kinsoku/>
              <w:wordWrap/>
              <w:overflowPunct w:val="0"/>
              <w:topLinePunct w:val="0"/>
              <w:autoSpaceDE/>
              <w:autoSpaceDN/>
              <w:bidi w:val="0"/>
              <w:adjustRightInd/>
              <w:snapToGrid/>
              <w:spacing w:line="360" w:lineRule="exact"/>
              <w:textAlignment w:val="auto"/>
              <w:rPr>
                <w:rFonts w:hint="eastAsia" w:ascii="仿宋_GB2312" w:hAnsi="仿宋_GB2312" w:eastAsia="仿宋_GB2312" w:cs="仿宋_GB2312"/>
                <w:sz w:val="24"/>
                <w:szCs w:val="13"/>
              </w:rPr>
            </w:pPr>
          </w:p>
          <w:p w14:paraId="4512EFCF">
            <w:pPr>
              <w:keepNext w:val="0"/>
              <w:keepLines w:val="0"/>
              <w:pageBreakBefore w:val="0"/>
              <w:widowControl w:val="0"/>
              <w:kinsoku/>
              <w:wordWrap/>
              <w:overflowPunct w:val="0"/>
              <w:topLinePunct w:val="0"/>
              <w:autoSpaceDE/>
              <w:autoSpaceDN/>
              <w:bidi w:val="0"/>
              <w:adjustRightInd/>
              <w:snapToGrid/>
              <w:spacing w:line="360" w:lineRule="exact"/>
              <w:textAlignment w:val="auto"/>
              <w:rPr>
                <w:rFonts w:hint="eastAsia" w:ascii="仿宋_GB2312" w:hAnsi="仿宋_GB2312" w:eastAsia="仿宋_GB2312" w:cs="仿宋_GB2312"/>
                <w:sz w:val="24"/>
                <w:szCs w:val="13"/>
              </w:rPr>
            </w:pPr>
          </w:p>
          <w:p w14:paraId="07AAF6AB">
            <w:pPr>
              <w:keepNext w:val="0"/>
              <w:keepLines w:val="0"/>
              <w:pageBreakBefore w:val="0"/>
              <w:widowControl w:val="0"/>
              <w:kinsoku/>
              <w:wordWrap/>
              <w:overflowPunct w:val="0"/>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13"/>
              </w:rPr>
            </w:pPr>
          </w:p>
          <w:p w14:paraId="0B540BCD">
            <w:pPr>
              <w:keepNext w:val="0"/>
              <w:keepLines w:val="0"/>
              <w:pageBreakBefore w:val="0"/>
              <w:widowControl w:val="0"/>
              <w:kinsoku/>
              <w:wordWrap/>
              <w:overflowPunct w:val="0"/>
              <w:topLinePunct w:val="0"/>
              <w:autoSpaceDE/>
              <w:autoSpaceDN/>
              <w:bidi w:val="0"/>
              <w:adjustRightInd/>
              <w:snapToGrid/>
              <w:spacing w:line="440" w:lineRule="exact"/>
              <w:ind w:leftChars="2300"/>
              <w:jc w:val="left"/>
              <w:textAlignment w:val="auto"/>
              <w:rPr>
                <w:rFonts w:hint="default" w:ascii="仿宋_GB2312" w:hAnsi="仿宋_GB2312" w:eastAsia="仿宋_GB2312" w:cs="仿宋_GB2312"/>
                <w:sz w:val="28"/>
                <w:szCs w:val="15"/>
                <w:lang w:val="en-US" w:eastAsia="zh-CN"/>
              </w:rPr>
            </w:pPr>
            <w:r>
              <w:rPr>
                <w:rFonts w:hint="eastAsia" w:ascii="仿宋_GB2312" w:hAnsi="仿宋_GB2312" w:eastAsia="仿宋_GB2312" w:cs="仿宋_GB2312"/>
                <w:sz w:val="28"/>
                <w:szCs w:val="15"/>
              </w:rPr>
              <w:t>负责人签名:</w:t>
            </w:r>
            <w:r>
              <w:rPr>
                <w:rFonts w:hint="eastAsia" w:ascii="仿宋_GB2312" w:hAnsi="仿宋_GB2312" w:eastAsia="仿宋_GB2312" w:cs="仿宋_GB2312"/>
                <w:sz w:val="28"/>
                <w:szCs w:val="15"/>
                <w:lang w:val="en-US" w:eastAsia="zh-CN"/>
              </w:rPr>
              <w:t xml:space="preserve">            </w:t>
            </w:r>
          </w:p>
          <w:p w14:paraId="58969DEF">
            <w:pPr>
              <w:keepNext w:val="0"/>
              <w:keepLines w:val="0"/>
              <w:pageBreakBefore w:val="0"/>
              <w:widowControl w:val="0"/>
              <w:kinsoku/>
              <w:wordWrap/>
              <w:overflowPunct w:val="0"/>
              <w:topLinePunct w:val="0"/>
              <w:autoSpaceDE/>
              <w:autoSpaceDN/>
              <w:bidi w:val="0"/>
              <w:adjustRightInd/>
              <w:snapToGrid/>
              <w:spacing w:line="440" w:lineRule="exact"/>
              <w:ind w:leftChars="2300"/>
              <w:jc w:val="left"/>
              <w:textAlignment w:val="auto"/>
              <w:rPr>
                <w:rFonts w:hint="default" w:ascii="仿宋_GB2312" w:hAnsi="仿宋_GB2312" w:eastAsia="仿宋_GB2312" w:cs="仿宋_GB2312"/>
                <w:sz w:val="24"/>
                <w:szCs w:val="13"/>
                <w:lang w:val="en-US" w:eastAsia="zh-CN"/>
              </w:rPr>
            </w:pPr>
            <w:r>
              <w:rPr>
                <w:rFonts w:hint="eastAsia" w:ascii="仿宋_GB2312" w:hAnsi="仿宋_GB2312" w:eastAsia="仿宋_GB2312" w:cs="仿宋_GB2312"/>
                <w:sz w:val="28"/>
                <w:szCs w:val="15"/>
                <w:lang w:val="en-US" w:eastAsia="zh-CN"/>
              </w:rPr>
              <w:t>（单位</w:t>
            </w:r>
            <w:r>
              <w:rPr>
                <w:rFonts w:hint="eastAsia" w:ascii="仿宋_GB2312" w:hAnsi="仿宋_GB2312" w:eastAsia="仿宋_GB2312" w:cs="仿宋_GB2312"/>
                <w:sz w:val="28"/>
                <w:szCs w:val="15"/>
              </w:rPr>
              <w:t>盖章</w:t>
            </w:r>
            <w:r>
              <w:rPr>
                <w:rFonts w:hint="eastAsia" w:ascii="仿宋_GB2312" w:hAnsi="仿宋_GB2312" w:eastAsia="仿宋_GB2312" w:cs="仿宋_GB2312"/>
                <w:sz w:val="28"/>
                <w:szCs w:val="15"/>
                <w:lang w:eastAsia="zh-CN"/>
              </w:rPr>
              <w:t>）</w:t>
            </w:r>
            <w:r>
              <w:rPr>
                <w:rFonts w:hint="eastAsia" w:ascii="仿宋_GB2312" w:hAnsi="仿宋_GB2312" w:eastAsia="仿宋_GB2312" w:cs="仿宋_GB2312"/>
                <w:sz w:val="32"/>
                <w:szCs w:val="16"/>
                <w:lang w:val="en-US" w:eastAsia="zh-CN"/>
              </w:rPr>
              <w:t xml:space="preserve">            </w:t>
            </w:r>
          </w:p>
        </w:tc>
      </w:tr>
      <w:tr w14:paraId="14F01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0" w:hRule="atLeast"/>
          <w:jc w:val="center"/>
        </w:trPr>
        <w:tc>
          <w:tcPr>
            <w:tcW w:w="4486" w:type="dxa"/>
            <w:gridSpan w:val="2"/>
          </w:tcPr>
          <w:p w14:paraId="63620102">
            <w:pPr>
              <w:overflowPunct w:val="0"/>
              <w:spacing w:line="360" w:lineRule="auto"/>
              <w:ind w:right="1200"/>
              <w:rPr>
                <w:rFonts w:hint="eastAsia" w:ascii="仿宋_GB2312" w:hAnsi="仿宋_GB2312" w:eastAsia="仿宋_GB2312" w:cs="仿宋_GB2312"/>
                <w:sz w:val="28"/>
                <w:szCs w:val="15"/>
              </w:rPr>
            </w:pPr>
            <w:r>
              <w:rPr>
                <w:rFonts w:hint="eastAsia" w:ascii="仿宋_GB2312" w:hAnsi="仿宋_GB2312" w:eastAsia="仿宋_GB2312" w:cs="仿宋_GB2312"/>
                <w:sz w:val="28"/>
                <w:szCs w:val="15"/>
              </w:rPr>
              <w:t>引进用户职能部门意见：</w:t>
            </w:r>
          </w:p>
          <w:p w14:paraId="0D414CC8">
            <w:pPr>
              <w:overflowPunct w:val="0"/>
              <w:spacing w:line="360" w:lineRule="auto"/>
              <w:ind w:right="1200"/>
              <w:rPr>
                <w:rFonts w:hint="eastAsia" w:ascii="仿宋_GB2312" w:hAnsi="仿宋_GB2312" w:eastAsia="仿宋_GB2312" w:cs="仿宋_GB2312"/>
                <w:sz w:val="24"/>
                <w:szCs w:val="13"/>
              </w:rPr>
            </w:pPr>
          </w:p>
          <w:p w14:paraId="2E4AEECB">
            <w:pPr>
              <w:overflowPunct w:val="0"/>
              <w:spacing w:line="360" w:lineRule="auto"/>
              <w:ind w:firstLine="1600" w:firstLineChars="500"/>
              <w:rPr>
                <w:rFonts w:hint="eastAsia" w:ascii="仿宋_GB2312" w:hAnsi="仿宋_GB2312" w:eastAsia="仿宋_GB2312" w:cs="仿宋_GB2312"/>
                <w:sz w:val="32"/>
                <w:szCs w:val="16"/>
              </w:rPr>
            </w:pPr>
          </w:p>
          <w:p w14:paraId="51B85818">
            <w:pPr>
              <w:keepNext w:val="0"/>
              <w:keepLines w:val="0"/>
              <w:pageBreakBefore w:val="0"/>
              <w:widowControl w:val="0"/>
              <w:kinsoku/>
              <w:wordWrap/>
              <w:overflowPunct w:val="0"/>
              <w:topLinePunct w:val="0"/>
              <w:autoSpaceDE/>
              <w:autoSpaceDN/>
              <w:bidi w:val="0"/>
              <w:adjustRightInd/>
              <w:snapToGrid/>
              <w:spacing w:line="440" w:lineRule="exact"/>
              <w:ind w:leftChars="300" w:firstLine="280" w:firstLineChars="100"/>
              <w:jc w:val="both"/>
              <w:textAlignment w:val="auto"/>
              <w:rPr>
                <w:rFonts w:hint="eastAsia" w:ascii="仿宋_GB2312" w:hAnsi="仿宋_GB2312" w:eastAsia="仿宋_GB2312" w:cs="仿宋_GB2312"/>
                <w:sz w:val="28"/>
                <w:szCs w:val="15"/>
              </w:rPr>
            </w:pPr>
            <w:r>
              <w:rPr>
                <w:rFonts w:hint="eastAsia" w:ascii="仿宋_GB2312" w:hAnsi="仿宋_GB2312" w:eastAsia="仿宋_GB2312" w:cs="仿宋_GB2312"/>
                <w:sz w:val="28"/>
                <w:szCs w:val="15"/>
              </w:rPr>
              <w:t>负责人签名:</w:t>
            </w:r>
          </w:p>
          <w:p w14:paraId="33ABCAFA">
            <w:pPr>
              <w:keepNext w:val="0"/>
              <w:keepLines w:val="0"/>
              <w:pageBreakBefore w:val="0"/>
              <w:widowControl w:val="0"/>
              <w:kinsoku/>
              <w:wordWrap/>
              <w:overflowPunct w:val="0"/>
              <w:topLinePunct w:val="0"/>
              <w:autoSpaceDE/>
              <w:autoSpaceDN/>
              <w:bidi w:val="0"/>
              <w:adjustRightInd/>
              <w:snapToGrid/>
              <w:spacing w:line="440" w:lineRule="exact"/>
              <w:ind w:leftChars="300" w:firstLine="280" w:firstLineChars="100"/>
              <w:jc w:val="both"/>
              <w:textAlignment w:val="auto"/>
              <w:rPr>
                <w:rFonts w:hint="eastAsia" w:ascii="仿宋_GB2312" w:hAnsi="仿宋_GB2312" w:eastAsia="仿宋_GB2312" w:cs="仿宋_GB2312"/>
                <w:sz w:val="24"/>
                <w:szCs w:val="13"/>
                <w:lang w:eastAsia="zh-CN"/>
              </w:rPr>
            </w:pPr>
            <w:r>
              <w:rPr>
                <w:rFonts w:hint="eastAsia" w:ascii="仿宋_GB2312" w:hAnsi="仿宋_GB2312" w:eastAsia="仿宋_GB2312" w:cs="仿宋_GB2312"/>
                <w:sz w:val="28"/>
                <w:szCs w:val="15"/>
                <w:lang w:eastAsia="zh-CN"/>
              </w:rPr>
              <w:t>（</w:t>
            </w:r>
            <w:r>
              <w:rPr>
                <w:rFonts w:hint="eastAsia" w:ascii="仿宋_GB2312" w:hAnsi="仿宋_GB2312" w:eastAsia="仿宋_GB2312" w:cs="仿宋_GB2312"/>
                <w:sz w:val="28"/>
                <w:szCs w:val="15"/>
              </w:rPr>
              <w:t>部门盖章</w:t>
            </w:r>
            <w:r>
              <w:rPr>
                <w:rFonts w:hint="eastAsia" w:ascii="仿宋_GB2312" w:hAnsi="仿宋_GB2312" w:eastAsia="仿宋_GB2312" w:cs="仿宋_GB2312"/>
                <w:sz w:val="28"/>
                <w:szCs w:val="15"/>
                <w:lang w:eastAsia="zh-CN"/>
              </w:rPr>
              <w:t>）</w:t>
            </w:r>
          </w:p>
        </w:tc>
        <w:tc>
          <w:tcPr>
            <w:tcW w:w="3810" w:type="dxa"/>
          </w:tcPr>
          <w:p w14:paraId="02F029FF">
            <w:pPr>
              <w:keepNext w:val="0"/>
              <w:keepLines w:val="0"/>
              <w:pageBreakBefore w:val="0"/>
              <w:widowControl w:val="0"/>
              <w:kinsoku/>
              <w:wordWrap/>
              <w:overflowPunct w:val="0"/>
              <w:topLinePunct w:val="0"/>
              <w:autoSpaceDE/>
              <w:autoSpaceDN/>
              <w:bidi w:val="0"/>
              <w:adjustRightInd/>
              <w:snapToGrid/>
              <w:spacing w:line="440" w:lineRule="exact"/>
              <w:textAlignment w:val="auto"/>
              <w:rPr>
                <w:rFonts w:hint="eastAsia" w:ascii="仿宋_GB2312" w:hAnsi="仿宋_GB2312" w:eastAsia="仿宋_GB2312" w:cs="仿宋_GB2312"/>
                <w:sz w:val="28"/>
                <w:szCs w:val="15"/>
              </w:rPr>
            </w:pPr>
            <w:r>
              <w:rPr>
                <w:rFonts w:hint="eastAsia" w:ascii="仿宋_GB2312" w:hAnsi="仿宋_GB2312" w:eastAsia="仿宋_GB2312" w:cs="仿宋_GB2312"/>
                <w:sz w:val="28"/>
                <w:szCs w:val="15"/>
              </w:rPr>
              <w:t>物业核准意见（</w:t>
            </w:r>
            <w:r>
              <w:rPr>
                <w:rFonts w:hint="eastAsia" w:ascii="仿宋_GB2312" w:hAnsi="仿宋_GB2312" w:eastAsia="仿宋_GB2312" w:cs="仿宋_GB2312"/>
                <w:sz w:val="28"/>
                <w:szCs w:val="15"/>
                <w:lang w:val="en-US" w:eastAsia="zh-CN"/>
              </w:rPr>
              <w:t>需核准几路用电进线，电压及水表管径</w:t>
            </w:r>
            <w:r>
              <w:rPr>
                <w:rFonts w:hint="eastAsia" w:ascii="仿宋_GB2312" w:hAnsi="仿宋_GB2312" w:eastAsia="仿宋_GB2312" w:cs="仿宋_GB2312"/>
                <w:sz w:val="28"/>
                <w:szCs w:val="15"/>
              </w:rPr>
              <w:t>）：</w:t>
            </w:r>
          </w:p>
          <w:p w14:paraId="7AAE9DA6">
            <w:pPr>
              <w:overflowPunct w:val="0"/>
              <w:spacing w:line="360" w:lineRule="auto"/>
              <w:ind w:right="1200"/>
              <w:rPr>
                <w:rFonts w:hint="eastAsia" w:ascii="仿宋_GB2312" w:hAnsi="仿宋_GB2312" w:eastAsia="仿宋_GB2312" w:cs="仿宋_GB2312"/>
                <w:sz w:val="24"/>
                <w:szCs w:val="13"/>
              </w:rPr>
            </w:pPr>
          </w:p>
          <w:p w14:paraId="72656B20">
            <w:pPr>
              <w:keepNext w:val="0"/>
              <w:keepLines w:val="0"/>
              <w:pageBreakBefore w:val="0"/>
              <w:widowControl w:val="0"/>
              <w:kinsoku/>
              <w:wordWrap/>
              <w:overflowPunct w:val="0"/>
              <w:topLinePunct w:val="0"/>
              <w:autoSpaceDE/>
              <w:autoSpaceDN/>
              <w:bidi w:val="0"/>
              <w:adjustRightInd/>
              <w:snapToGrid/>
              <w:spacing w:line="440" w:lineRule="exact"/>
              <w:ind w:right="1202"/>
              <w:textAlignment w:val="auto"/>
              <w:rPr>
                <w:rFonts w:hint="eastAsia" w:ascii="仿宋_GB2312" w:hAnsi="仿宋_GB2312" w:eastAsia="仿宋_GB2312" w:cs="仿宋_GB2312"/>
                <w:sz w:val="28"/>
                <w:szCs w:val="15"/>
              </w:rPr>
            </w:pPr>
          </w:p>
          <w:p w14:paraId="33788F33">
            <w:pPr>
              <w:keepNext w:val="0"/>
              <w:keepLines w:val="0"/>
              <w:pageBreakBefore w:val="0"/>
              <w:widowControl w:val="0"/>
              <w:kinsoku/>
              <w:wordWrap/>
              <w:overflowPunct w:val="0"/>
              <w:topLinePunct w:val="0"/>
              <w:autoSpaceDE/>
              <w:autoSpaceDN/>
              <w:bidi w:val="0"/>
              <w:adjustRightInd/>
              <w:snapToGrid/>
              <w:spacing w:line="440" w:lineRule="exact"/>
              <w:ind w:right="1202"/>
              <w:textAlignment w:val="auto"/>
              <w:rPr>
                <w:rFonts w:hint="eastAsia" w:ascii="仿宋_GB2312" w:hAnsi="仿宋_GB2312" w:eastAsia="仿宋_GB2312" w:cs="仿宋_GB2312"/>
                <w:sz w:val="24"/>
                <w:szCs w:val="13"/>
              </w:rPr>
            </w:pPr>
            <w:r>
              <w:rPr>
                <w:rFonts w:hint="eastAsia" w:ascii="仿宋_GB2312" w:hAnsi="仿宋_GB2312" w:eastAsia="仿宋_GB2312" w:cs="仿宋_GB2312"/>
                <w:sz w:val="28"/>
                <w:szCs w:val="15"/>
              </w:rPr>
              <w:t>负责人签名：</w:t>
            </w:r>
          </w:p>
        </w:tc>
      </w:tr>
      <w:tr w14:paraId="2ED36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4" w:hRule="atLeast"/>
          <w:jc w:val="center"/>
        </w:trPr>
        <w:tc>
          <w:tcPr>
            <w:tcW w:w="8296" w:type="dxa"/>
            <w:gridSpan w:val="3"/>
          </w:tcPr>
          <w:p w14:paraId="779F2C5D">
            <w:pPr>
              <w:keepNext w:val="0"/>
              <w:keepLines w:val="0"/>
              <w:pageBreakBefore w:val="0"/>
              <w:widowControl w:val="0"/>
              <w:kinsoku/>
              <w:wordWrap/>
              <w:overflowPunct w:val="0"/>
              <w:topLinePunct w:val="0"/>
              <w:autoSpaceDE/>
              <w:autoSpaceDN/>
              <w:bidi w:val="0"/>
              <w:adjustRightInd/>
              <w:snapToGrid/>
              <w:spacing w:line="440" w:lineRule="exact"/>
              <w:ind w:right="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后勤综合管理处</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能源管理办公室，乐群楼403</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审核意见：</w:t>
            </w:r>
          </w:p>
          <w:p w14:paraId="73EAF986">
            <w:pPr>
              <w:keepNext w:val="0"/>
              <w:keepLines w:val="0"/>
              <w:pageBreakBefore w:val="0"/>
              <w:widowControl w:val="0"/>
              <w:kinsoku/>
              <w:wordWrap/>
              <w:overflowPunct w:val="0"/>
              <w:topLinePunct w:val="0"/>
              <w:autoSpaceDE/>
              <w:autoSpaceDN/>
              <w:bidi w:val="0"/>
              <w:adjustRightInd/>
              <w:snapToGrid/>
              <w:spacing w:line="440" w:lineRule="exact"/>
              <w:ind w:right="0" w:firstLine="0" w:firstLineChars="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同意安装表具类型：</w:t>
            </w:r>
          </w:p>
          <w:p w14:paraId="38F2FC50">
            <w:pPr>
              <w:keepNext w:val="0"/>
              <w:keepLines w:val="0"/>
              <w:pageBreakBefore w:val="0"/>
              <w:widowControl w:val="0"/>
              <w:kinsoku/>
              <w:wordWrap/>
              <w:overflowPunct w:val="0"/>
              <w:topLinePunct w:val="0"/>
              <w:autoSpaceDE/>
              <w:autoSpaceDN/>
              <w:bidi w:val="0"/>
              <w:adjustRightInd/>
              <w:snapToGrid/>
              <w:spacing w:line="440" w:lineRule="exact"/>
              <w:ind w:right="0" w:firstLine="0" w:firstLineChars="0"/>
              <w:textAlignment w:val="auto"/>
              <w:rPr>
                <w:rFonts w:hint="eastAsia" w:ascii="仿宋_GB2312" w:hAnsi="仿宋_GB2312" w:eastAsia="仿宋_GB2312" w:cs="仿宋_GB2312"/>
                <w:sz w:val="28"/>
                <w:szCs w:val="15"/>
              </w:rPr>
            </w:pPr>
            <w:r>
              <w:rPr>
                <w:rFonts w:hint="eastAsia" w:ascii="仿宋_GB2312" w:hAnsi="仿宋_GB2312" w:eastAsia="仿宋_GB2312" w:cs="仿宋_GB2312"/>
                <w:sz w:val="28"/>
                <w:szCs w:val="15"/>
              </w:rPr>
              <w:sym w:font="Wingdings 2" w:char="F0A3"/>
            </w:r>
            <w:r>
              <w:rPr>
                <w:rFonts w:hint="eastAsia" w:ascii="仿宋_GB2312" w:hAnsi="仿宋_GB2312" w:eastAsia="仿宋_GB2312" w:cs="仿宋_GB2312"/>
                <w:sz w:val="28"/>
                <w:szCs w:val="15"/>
                <w:lang w:val="en-US" w:eastAsia="zh-CN"/>
              </w:rPr>
              <w:t>智能水表（品牌：正泰，型号：                          ）</w:t>
            </w:r>
          </w:p>
          <w:p w14:paraId="4D8D97C6">
            <w:pPr>
              <w:keepNext w:val="0"/>
              <w:keepLines w:val="0"/>
              <w:pageBreakBefore w:val="0"/>
              <w:widowControl w:val="0"/>
              <w:kinsoku/>
              <w:wordWrap/>
              <w:overflowPunct w:val="0"/>
              <w:topLinePunct w:val="0"/>
              <w:autoSpaceDE/>
              <w:autoSpaceDN/>
              <w:bidi w:val="0"/>
              <w:adjustRightInd/>
              <w:snapToGrid/>
              <w:spacing w:line="440" w:lineRule="exact"/>
              <w:ind w:right="0" w:firstLine="0" w:firstLineChars="0"/>
              <w:textAlignment w:val="auto"/>
              <w:rPr>
                <w:rFonts w:hint="eastAsia" w:ascii="仿宋_GB2312" w:hAnsi="仿宋_GB2312" w:eastAsia="仿宋_GB2312" w:cs="仿宋_GB2312"/>
                <w:sz w:val="28"/>
                <w:szCs w:val="15"/>
                <w:lang w:val="en-US" w:eastAsia="zh-CN"/>
              </w:rPr>
            </w:pPr>
            <w:r>
              <w:rPr>
                <w:rFonts w:hint="eastAsia" w:ascii="仿宋_GB2312" w:hAnsi="仿宋_GB2312" w:eastAsia="仿宋_GB2312" w:cs="仿宋_GB2312"/>
                <w:sz w:val="28"/>
                <w:szCs w:val="15"/>
              </w:rPr>
              <w:sym w:font="Wingdings 2" w:char="00A3"/>
            </w:r>
            <w:r>
              <w:rPr>
                <w:rFonts w:hint="eastAsia" w:ascii="仿宋_GB2312" w:hAnsi="仿宋_GB2312" w:eastAsia="仿宋_GB2312" w:cs="仿宋_GB2312"/>
                <w:sz w:val="28"/>
                <w:szCs w:val="15"/>
                <w:lang w:val="en-US" w:eastAsia="zh-CN"/>
              </w:rPr>
              <w:t>智能电表（品牌：正泰，型号：                          ）</w:t>
            </w:r>
          </w:p>
          <w:p w14:paraId="174EA91F">
            <w:pPr>
              <w:keepNext w:val="0"/>
              <w:keepLines w:val="0"/>
              <w:pageBreakBefore w:val="0"/>
              <w:widowControl w:val="0"/>
              <w:kinsoku/>
              <w:wordWrap/>
              <w:overflowPunct w:val="0"/>
              <w:topLinePunct w:val="0"/>
              <w:autoSpaceDE/>
              <w:autoSpaceDN/>
              <w:bidi w:val="0"/>
              <w:adjustRightInd/>
              <w:snapToGrid/>
              <w:spacing w:line="440" w:lineRule="exact"/>
              <w:ind w:right="0" w:firstLine="0" w:firstLineChars="0"/>
              <w:textAlignment w:val="auto"/>
              <w:rPr>
                <w:rFonts w:hint="eastAsia" w:ascii="仿宋_GB2312" w:hAnsi="仿宋_GB2312" w:eastAsia="仿宋_GB2312" w:cs="仿宋_GB2312"/>
                <w:sz w:val="28"/>
                <w:szCs w:val="15"/>
                <w:lang w:val="en-US" w:eastAsia="zh-CN"/>
              </w:rPr>
            </w:pPr>
            <w:r>
              <w:rPr>
                <w:rFonts w:hint="eastAsia" w:ascii="仿宋_GB2312" w:hAnsi="仿宋_GB2312" w:eastAsia="仿宋_GB2312" w:cs="仿宋_GB2312"/>
                <w:sz w:val="28"/>
                <w:szCs w:val="15"/>
              </w:rPr>
              <w:sym w:font="Wingdings 2" w:char="00A3"/>
            </w:r>
            <w:r>
              <w:rPr>
                <w:rFonts w:hint="eastAsia" w:ascii="仿宋_GB2312" w:hAnsi="仿宋_GB2312" w:eastAsia="仿宋_GB2312" w:cs="仿宋_GB2312"/>
                <w:sz w:val="28"/>
                <w:szCs w:val="15"/>
                <w:lang w:val="en-US" w:eastAsia="zh-CN"/>
              </w:rPr>
              <w:t>机械电表（品牌：正泰，型号：                          ）</w:t>
            </w:r>
          </w:p>
          <w:p w14:paraId="4EA22669">
            <w:pPr>
              <w:keepNext w:val="0"/>
              <w:keepLines w:val="0"/>
              <w:pageBreakBefore w:val="0"/>
              <w:widowControl w:val="0"/>
              <w:kinsoku/>
              <w:wordWrap/>
              <w:overflowPunct w:val="0"/>
              <w:topLinePunct w:val="0"/>
              <w:autoSpaceDE/>
              <w:autoSpaceDN/>
              <w:bidi w:val="0"/>
              <w:adjustRightInd/>
              <w:snapToGrid/>
              <w:spacing w:line="440" w:lineRule="exact"/>
              <w:ind w:right="0" w:firstLine="0" w:firstLineChars="0"/>
              <w:textAlignment w:val="auto"/>
              <w:rPr>
                <w:rFonts w:hint="eastAsia" w:ascii="仿宋_GB2312" w:hAnsi="仿宋_GB2312" w:eastAsia="仿宋_GB2312" w:cs="仿宋_GB2312"/>
                <w:sz w:val="28"/>
                <w:szCs w:val="15"/>
                <w:lang w:val="en-US" w:eastAsia="zh-CN"/>
              </w:rPr>
            </w:pPr>
            <w:r>
              <w:rPr>
                <w:rFonts w:hint="eastAsia" w:ascii="仿宋_GB2312" w:hAnsi="仿宋_GB2312" w:eastAsia="仿宋_GB2312" w:cs="仿宋_GB2312"/>
                <w:sz w:val="28"/>
                <w:szCs w:val="15"/>
              </w:rPr>
              <w:sym w:font="Wingdings 2" w:char="00A3"/>
            </w:r>
            <w:r>
              <w:rPr>
                <w:rFonts w:hint="eastAsia" w:ascii="仿宋_GB2312" w:hAnsi="仿宋_GB2312" w:eastAsia="仿宋_GB2312" w:cs="仿宋_GB2312"/>
                <w:sz w:val="28"/>
                <w:szCs w:val="15"/>
                <w:lang w:val="en-US" w:eastAsia="zh-CN"/>
              </w:rPr>
              <w:t>机械水表（品牌：正泰，型号：                          ）</w:t>
            </w:r>
          </w:p>
          <w:p w14:paraId="267AAEE0">
            <w:pPr>
              <w:keepNext w:val="0"/>
              <w:keepLines w:val="0"/>
              <w:pageBreakBefore w:val="0"/>
              <w:widowControl w:val="0"/>
              <w:kinsoku/>
              <w:wordWrap/>
              <w:overflowPunct w:val="0"/>
              <w:topLinePunct w:val="0"/>
              <w:autoSpaceDE/>
              <w:autoSpaceDN/>
              <w:bidi w:val="0"/>
              <w:adjustRightInd/>
              <w:snapToGrid/>
              <w:spacing w:line="240" w:lineRule="auto"/>
              <w:ind w:right="0" w:firstLine="3840" w:firstLineChars="1600"/>
              <w:textAlignment w:val="auto"/>
              <w:rPr>
                <w:rFonts w:hint="eastAsia" w:ascii="仿宋_GB2312" w:hAnsi="仿宋_GB2312" w:eastAsia="仿宋_GB2312" w:cs="仿宋_GB2312"/>
                <w:sz w:val="24"/>
                <w:szCs w:val="13"/>
              </w:rPr>
            </w:pPr>
          </w:p>
          <w:p w14:paraId="2A812984">
            <w:pPr>
              <w:keepNext w:val="0"/>
              <w:keepLines w:val="0"/>
              <w:pageBreakBefore w:val="0"/>
              <w:widowControl w:val="0"/>
              <w:kinsoku/>
              <w:wordWrap/>
              <w:overflowPunct w:val="0"/>
              <w:topLinePunct w:val="0"/>
              <w:autoSpaceDE/>
              <w:autoSpaceDN/>
              <w:bidi w:val="0"/>
              <w:adjustRightInd/>
              <w:snapToGrid/>
              <w:spacing w:line="240" w:lineRule="auto"/>
              <w:ind w:right="0" w:firstLine="3840" w:firstLineChars="1600"/>
              <w:textAlignment w:val="auto"/>
              <w:rPr>
                <w:rFonts w:hint="eastAsia" w:ascii="仿宋_GB2312" w:hAnsi="仿宋_GB2312" w:eastAsia="仿宋_GB2312" w:cs="仿宋_GB2312"/>
                <w:sz w:val="24"/>
                <w:szCs w:val="13"/>
              </w:rPr>
            </w:pPr>
          </w:p>
          <w:p w14:paraId="23FFBF56">
            <w:pPr>
              <w:keepNext w:val="0"/>
              <w:keepLines w:val="0"/>
              <w:pageBreakBefore w:val="0"/>
              <w:widowControl w:val="0"/>
              <w:kinsoku/>
              <w:wordWrap/>
              <w:overflowPunct w:val="0"/>
              <w:topLinePunct w:val="0"/>
              <w:autoSpaceDE/>
              <w:autoSpaceDN/>
              <w:bidi w:val="0"/>
              <w:adjustRightInd/>
              <w:snapToGrid/>
              <w:spacing w:line="240" w:lineRule="auto"/>
              <w:ind w:leftChars="1400" w:right="0"/>
              <w:textAlignment w:val="auto"/>
              <w:rPr>
                <w:rFonts w:hint="eastAsia" w:ascii="仿宋_GB2312" w:hAnsi="仿宋_GB2312" w:eastAsia="仿宋_GB2312" w:cs="仿宋_GB2312"/>
                <w:sz w:val="28"/>
                <w:szCs w:val="15"/>
              </w:rPr>
            </w:pPr>
            <w:r>
              <w:rPr>
                <w:rFonts w:hint="eastAsia" w:ascii="仿宋_GB2312" w:hAnsi="仿宋_GB2312" w:eastAsia="仿宋_GB2312" w:cs="仿宋_GB2312"/>
                <w:sz w:val="28"/>
                <w:szCs w:val="15"/>
              </w:rPr>
              <w:t>负责人签名（部门盖章）：</w:t>
            </w:r>
          </w:p>
          <w:p w14:paraId="109798AC">
            <w:pPr>
              <w:overflowPunct w:val="0"/>
              <w:spacing w:line="360" w:lineRule="auto"/>
              <w:ind w:right="1200" w:firstLine="3600" w:firstLineChars="1500"/>
              <w:rPr>
                <w:rFonts w:hint="eastAsia" w:ascii="仿宋_GB2312" w:hAnsi="仿宋_GB2312" w:eastAsia="仿宋_GB2312" w:cs="仿宋_GB2312"/>
                <w:sz w:val="24"/>
                <w:szCs w:val="13"/>
              </w:rPr>
            </w:pPr>
          </w:p>
        </w:tc>
      </w:tr>
    </w:tbl>
    <w:p w14:paraId="61BD5D08">
      <w:pPr>
        <w:rPr>
          <w:rFonts w:hint="eastAsia" w:ascii="仿宋_GB2312" w:hAnsi="仿宋_GB2312" w:eastAsia="仿宋_GB2312" w:cs="仿宋_GB2312"/>
          <w:sz w:val="22"/>
          <w:szCs w:val="21"/>
          <w:lang w:val="en-US" w:eastAsia="zh-CN"/>
        </w:rPr>
      </w:pPr>
      <w:r>
        <w:rPr>
          <w:rFonts w:hint="eastAsia" w:ascii="仿宋_GB2312" w:hAnsi="仿宋_GB2312" w:eastAsia="仿宋_GB2312" w:cs="仿宋_GB2312"/>
          <w:sz w:val="22"/>
          <w:szCs w:val="21"/>
          <w:lang w:val="en-US" w:eastAsia="zh-CN"/>
        </w:rPr>
        <w:t>备注：本表一式三份，第三方用户单位、引进用户职能部门、后勤综合管理处各执一份，如遇表格跨页，请双面打印。</w:t>
      </w:r>
    </w:p>
    <w:p w14:paraId="7E709B3F">
      <w:pPr>
        <w:tabs>
          <w:tab w:val="left" w:pos="741"/>
        </w:tabs>
        <w:bidi w:val="0"/>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07571F4-ECEF-4BDE-8DAC-84B9BC383652}"/>
  </w:font>
  <w:font w:name="黑体">
    <w:panose1 w:val="02010609060101010101"/>
    <w:charset w:val="86"/>
    <w:family w:val="auto"/>
    <w:pitch w:val="default"/>
    <w:sig w:usb0="800002BF" w:usb1="38CF7CFA" w:usb2="00000016" w:usb3="00000000" w:csb0="00040001" w:csb1="00000000"/>
    <w:embedRegular r:id="rId2" w:fontKey="{8A0AA62F-67FC-4B8C-98E3-BC605764879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embedRegular r:id="rId3" w:fontKey="{B5BF7EB1-9492-4597-8275-A45B1D014C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embedRegular r:id="rId4" w:fontKey="{F1234805-BAF4-46CD-B9ED-39B44D75BB52}"/>
  </w:font>
  <w:font w:name="方正小标宋简体">
    <w:panose1 w:val="03000509000000000000"/>
    <w:charset w:val="86"/>
    <w:family w:val="script"/>
    <w:pitch w:val="default"/>
    <w:sig w:usb0="00000001" w:usb1="080E0000" w:usb2="00000000" w:usb3="00000000" w:csb0="00040000" w:csb1="00000000"/>
    <w:embedRegular r:id="rId5" w:fontKey="{01F0CBF5-A585-4F8D-A8B7-F5F22409209A}"/>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6" w:fontKey="{F11A36B5-CC69-4F83-9F9C-6DCF85DA73BA}"/>
  </w:font>
  <w:font w:name="仿宋">
    <w:panose1 w:val="02010609060101010101"/>
    <w:charset w:val="86"/>
    <w:family w:val="modern"/>
    <w:pitch w:val="default"/>
    <w:sig w:usb0="800002BF" w:usb1="38CF7CFA" w:usb2="00000016" w:usb3="00000000" w:csb0="00040001" w:csb1="00000000"/>
    <w:embedRegular r:id="rId7" w:fontKey="{F23BBD99-0D63-4A48-8CF3-046A6D85B68C}"/>
  </w:font>
  <w:font w:name="Wingdings 2">
    <w:panose1 w:val="05020102010507070707"/>
    <w:charset w:val="02"/>
    <w:family w:val="roman"/>
    <w:pitch w:val="default"/>
    <w:sig w:usb0="00000000" w:usb1="00000000" w:usb2="00000000" w:usb3="00000000" w:csb0="80000000" w:csb1="00000000"/>
    <w:embedRegular r:id="rId8" w:fontKey="{AF18CB39-8072-4F18-B48D-7FAFA7C8C1C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zODkxNGMyODcyYzM1OTY4MmUzN2U1YTI0MDI2NDEifQ=="/>
  </w:docVars>
  <w:rsids>
    <w:rsidRoot w:val="00383F1E"/>
    <w:rsid w:val="00016949"/>
    <w:rsid w:val="0002443B"/>
    <w:rsid w:val="000254C2"/>
    <w:rsid w:val="00052429"/>
    <w:rsid w:val="00054691"/>
    <w:rsid w:val="00062C61"/>
    <w:rsid w:val="00076E4C"/>
    <w:rsid w:val="00095169"/>
    <w:rsid w:val="000A170B"/>
    <w:rsid w:val="000E7127"/>
    <w:rsid w:val="001038CE"/>
    <w:rsid w:val="00161F25"/>
    <w:rsid w:val="001665DA"/>
    <w:rsid w:val="001A6742"/>
    <w:rsid w:val="001B544D"/>
    <w:rsid w:val="001D6B86"/>
    <w:rsid w:val="001D7F37"/>
    <w:rsid w:val="001E143C"/>
    <w:rsid w:val="001F6348"/>
    <w:rsid w:val="002212BC"/>
    <w:rsid w:val="00221D3B"/>
    <w:rsid w:val="00231BE3"/>
    <w:rsid w:val="002362B9"/>
    <w:rsid w:val="00237516"/>
    <w:rsid w:val="002427F8"/>
    <w:rsid w:val="002503A5"/>
    <w:rsid w:val="00251582"/>
    <w:rsid w:val="002A3865"/>
    <w:rsid w:val="002B755F"/>
    <w:rsid w:val="002D2FD1"/>
    <w:rsid w:val="002E2393"/>
    <w:rsid w:val="002F1AD5"/>
    <w:rsid w:val="00305220"/>
    <w:rsid w:val="00311F35"/>
    <w:rsid w:val="003312E6"/>
    <w:rsid w:val="00332E85"/>
    <w:rsid w:val="00337420"/>
    <w:rsid w:val="0034169D"/>
    <w:rsid w:val="0034305B"/>
    <w:rsid w:val="00357C21"/>
    <w:rsid w:val="0037333F"/>
    <w:rsid w:val="00383F1E"/>
    <w:rsid w:val="003A4AA7"/>
    <w:rsid w:val="003A6482"/>
    <w:rsid w:val="003C1642"/>
    <w:rsid w:val="003D5EC4"/>
    <w:rsid w:val="003D7AF3"/>
    <w:rsid w:val="003E052E"/>
    <w:rsid w:val="003E24AA"/>
    <w:rsid w:val="003E6B35"/>
    <w:rsid w:val="003F2EC2"/>
    <w:rsid w:val="00414D78"/>
    <w:rsid w:val="00415B87"/>
    <w:rsid w:val="00426D51"/>
    <w:rsid w:val="00442CD1"/>
    <w:rsid w:val="0049107F"/>
    <w:rsid w:val="004A68FB"/>
    <w:rsid w:val="004B27F9"/>
    <w:rsid w:val="004B7095"/>
    <w:rsid w:val="004C402A"/>
    <w:rsid w:val="004D656F"/>
    <w:rsid w:val="004E3D52"/>
    <w:rsid w:val="004E5BB2"/>
    <w:rsid w:val="00550E8F"/>
    <w:rsid w:val="0055552C"/>
    <w:rsid w:val="00582595"/>
    <w:rsid w:val="005A3E6D"/>
    <w:rsid w:val="005C46A0"/>
    <w:rsid w:val="00622070"/>
    <w:rsid w:val="006351B4"/>
    <w:rsid w:val="006451CC"/>
    <w:rsid w:val="0065150B"/>
    <w:rsid w:val="00656995"/>
    <w:rsid w:val="006764A9"/>
    <w:rsid w:val="00676FB4"/>
    <w:rsid w:val="006973B1"/>
    <w:rsid w:val="006B3B63"/>
    <w:rsid w:val="006D6524"/>
    <w:rsid w:val="006E0307"/>
    <w:rsid w:val="007152F8"/>
    <w:rsid w:val="00725B57"/>
    <w:rsid w:val="007840D0"/>
    <w:rsid w:val="007A1A9F"/>
    <w:rsid w:val="007B1671"/>
    <w:rsid w:val="007C2F4F"/>
    <w:rsid w:val="007C45A7"/>
    <w:rsid w:val="00801FE0"/>
    <w:rsid w:val="008174F3"/>
    <w:rsid w:val="00817B67"/>
    <w:rsid w:val="00855165"/>
    <w:rsid w:val="00861EE9"/>
    <w:rsid w:val="00871BB2"/>
    <w:rsid w:val="00873F9C"/>
    <w:rsid w:val="00880A50"/>
    <w:rsid w:val="0088401D"/>
    <w:rsid w:val="00887CF2"/>
    <w:rsid w:val="008A3C02"/>
    <w:rsid w:val="008D6C59"/>
    <w:rsid w:val="008E2D84"/>
    <w:rsid w:val="008F0006"/>
    <w:rsid w:val="008F3973"/>
    <w:rsid w:val="00922A33"/>
    <w:rsid w:val="00935D3D"/>
    <w:rsid w:val="00935FE7"/>
    <w:rsid w:val="00940CDB"/>
    <w:rsid w:val="0096785A"/>
    <w:rsid w:val="009B08A3"/>
    <w:rsid w:val="009D4638"/>
    <w:rsid w:val="009D6851"/>
    <w:rsid w:val="00A12144"/>
    <w:rsid w:val="00A13787"/>
    <w:rsid w:val="00A3657D"/>
    <w:rsid w:val="00A50D23"/>
    <w:rsid w:val="00A56D12"/>
    <w:rsid w:val="00A620B2"/>
    <w:rsid w:val="00A66E68"/>
    <w:rsid w:val="00A71496"/>
    <w:rsid w:val="00A7605E"/>
    <w:rsid w:val="00A80659"/>
    <w:rsid w:val="00A87256"/>
    <w:rsid w:val="00A879F0"/>
    <w:rsid w:val="00AB67D4"/>
    <w:rsid w:val="00B01A58"/>
    <w:rsid w:val="00B04B02"/>
    <w:rsid w:val="00B50F62"/>
    <w:rsid w:val="00B55801"/>
    <w:rsid w:val="00B824B1"/>
    <w:rsid w:val="00B86957"/>
    <w:rsid w:val="00BA5DAC"/>
    <w:rsid w:val="00BB42D7"/>
    <w:rsid w:val="00BC6C2D"/>
    <w:rsid w:val="00C00B07"/>
    <w:rsid w:val="00C05F68"/>
    <w:rsid w:val="00C10573"/>
    <w:rsid w:val="00C24F86"/>
    <w:rsid w:val="00C317A5"/>
    <w:rsid w:val="00C36FCA"/>
    <w:rsid w:val="00C45A3F"/>
    <w:rsid w:val="00C61A3A"/>
    <w:rsid w:val="00C82375"/>
    <w:rsid w:val="00CA1D0B"/>
    <w:rsid w:val="00CE4D78"/>
    <w:rsid w:val="00D15907"/>
    <w:rsid w:val="00D60DCA"/>
    <w:rsid w:val="00D62731"/>
    <w:rsid w:val="00D645A1"/>
    <w:rsid w:val="00D66717"/>
    <w:rsid w:val="00D67843"/>
    <w:rsid w:val="00D7424D"/>
    <w:rsid w:val="00D932E5"/>
    <w:rsid w:val="00DA51FC"/>
    <w:rsid w:val="00DC4833"/>
    <w:rsid w:val="00DC68BE"/>
    <w:rsid w:val="00DD4AA5"/>
    <w:rsid w:val="00DD6A61"/>
    <w:rsid w:val="00DD7DB2"/>
    <w:rsid w:val="00DE419E"/>
    <w:rsid w:val="00DE6FB0"/>
    <w:rsid w:val="00DF29A7"/>
    <w:rsid w:val="00E134BA"/>
    <w:rsid w:val="00E14535"/>
    <w:rsid w:val="00E37DE1"/>
    <w:rsid w:val="00E62DFC"/>
    <w:rsid w:val="00E72E82"/>
    <w:rsid w:val="00E80A8B"/>
    <w:rsid w:val="00E86086"/>
    <w:rsid w:val="00EA6E85"/>
    <w:rsid w:val="00EE0BDF"/>
    <w:rsid w:val="00EF761B"/>
    <w:rsid w:val="00F03E83"/>
    <w:rsid w:val="00F07994"/>
    <w:rsid w:val="00F162F9"/>
    <w:rsid w:val="00F33787"/>
    <w:rsid w:val="00F51798"/>
    <w:rsid w:val="00F60B85"/>
    <w:rsid w:val="00F67C7E"/>
    <w:rsid w:val="00F75BFA"/>
    <w:rsid w:val="00F76D34"/>
    <w:rsid w:val="00F80E60"/>
    <w:rsid w:val="00F90013"/>
    <w:rsid w:val="00F95F75"/>
    <w:rsid w:val="00F9647E"/>
    <w:rsid w:val="00FC2537"/>
    <w:rsid w:val="00FC769C"/>
    <w:rsid w:val="00FD0FF0"/>
    <w:rsid w:val="00FD252E"/>
    <w:rsid w:val="00FF5144"/>
    <w:rsid w:val="00FF57F6"/>
    <w:rsid w:val="01A21523"/>
    <w:rsid w:val="023B0973"/>
    <w:rsid w:val="024C2B81"/>
    <w:rsid w:val="02AB5AF9"/>
    <w:rsid w:val="03BE185C"/>
    <w:rsid w:val="067F3525"/>
    <w:rsid w:val="068943A3"/>
    <w:rsid w:val="06BA455D"/>
    <w:rsid w:val="0822685D"/>
    <w:rsid w:val="0888740E"/>
    <w:rsid w:val="0A954C1A"/>
    <w:rsid w:val="0AFC15AA"/>
    <w:rsid w:val="0B35117D"/>
    <w:rsid w:val="0B403CB2"/>
    <w:rsid w:val="0B7078E0"/>
    <w:rsid w:val="0D4115C5"/>
    <w:rsid w:val="0D705975"/>
    <w:rsid w:val="0E591116"/>
    <w:rsid w:val="0EAF24CD"/>
    <w:rsid w:val="0F765F3A"/>
    <w:rsid w:val="0FE47A65"/>
    <w:rsid w:val="10AF0EAA"/>
    <w:rsid w:val="11C646FD"/>
    <w:rsid w:val="13345697"/>
    <w:rsid w:val="134F24D1"/>
    <w:rsid w:val="14553B17"/>
    <w:rsid w:val="167A127B"/>
    <w:rsid w:val="16900E4D"/>
    <w:rsid w:val="17747294"/>
    <w:rsid w:val="19BB24F9"/>
    <w:rsid w:val="19F908C5"/>
    <w:rsid w:val="1A7616CB"/>
    <w:rsid w:val="1A907657"/>
    <w:rsid w:val="1ACD2659"/>
    <w:rsid w:val="1B6E53E9"/>
    <w:rsid w:val="1BC33A5C"/>
    <w:rsid w:val="1C48428D"/>
    <w:rsid w:val="1C506BA2"/>
    <w:rsid w:val="1CAB69CA"/>
    <w:rsid w:val="1D655089"/>
    <w:rsid w:val="1E911BEF"/>
    <w:rsid w:val="22427507"/>
    <w:rsid w:val="25A77F4A"/>
    <w:rsid w:val="26731922"/>
    <w:rsid w:val="27765E26"/>
    <w:rsid w:val="27812C94"/>
    <w:rsid w:val="2B585F6F"/>
    <w:rsid w:val="2EB07088"/>
    <w:rsid w:val="2EF53AD4"/>
    <w:rsid w:val="2FD24756"/>
    <w:rsid w:val="3284589B"/>
    <w:rsid w:val="32A25D21"/>
    <w:rsid w:val="32AB107A"/>
    <w:rsid w:val="32D61E6F"/>
    <w:rsid w:val="330F18B1"/>
    <w:rsid w:val="34DA1EC8"/>
    <w:rsid w:val="34E24AFB"/>
    <w:rsid w:val="3612525D"/>
    <w:rsid w:val="372C6501"/>
    <w:rsid w:val="39A9208B"/>
    <w:rsid w:val="3A6164C2"/>
    <w:rsid w:val="3BFD7B35"/>
    <w:rsid w:val="3C860462"/>
    <w:rsid w:val="3E5720B6"/>
    <w:rsid w:val="3ED96F6F"/>
    <w:rsid w:val="3F3423F7"/>
    <w:rsid w:val="400242A3"/>
    <w:rsid w:val="40071E09"/>
    <w:rsid w:val="4008267A"/>
    <w:rsid w:val="40C477AB"/>
    <w:rsid w:val="40E340D5"/>
    <w:rsid w:val="41976DD3"/>
    <w:rsid w:val="432D0A95"/>
    <w:rsid w:val="442C42E7"/>
    <w:rsid w:val="4532494B"/>
    <w:rsid w:val="455E5972"/>
    <w:rsid w:val="458F4D4E"/>
    <w:rsid w:val="470D3C59"/>
    <w:rsid w:val="4723522B"/>
    <w:rsid w:val="47665BDA"/>
    <w:rsid w:val="47B12E0A"/>
    <w:rsid w:val="4A8514AE"/>
    <w:rsid w:val="4BFE0015"/>
    <w:rsid w:val="4CA94424"/>
    <w:rsid w:val="4CCF5029"/>
    <w:rsid w:val="4DB6219A"/>
    <w:rsid w:val="4DC1754C"/>
    <w:rsid w:val="4ECA3EB9"/>
    <w:rsid w:val="50660FDB"/>
    <w:rsid w:val="51B82A14"/>
    <w:rsid w:val="52974D1F"/>
    <w:rsid w:val="52B92D57"/>
    <w:rsid w:val="530853EE"/>
    <w:rsid w:val="5393482C"/>
    <w:rsid w:val="53A476F3"/>
    <w:rsid w:val="53F02FBD"/>
    <w:rsid w:val="541F2B83"/>
    <w:rsid w:val="544D7C8D"/>
    <w:rsid w:val="546D3F89"/>
    <w:rsid w:val="549C58F4"/>
    <w:rsid w:val="54A057A2"/>
    <w:rsid w:val="550970A1"/>
    <w:rsid w:val="55363DC5"/>
    <w:rsid w:val="55AA1478"/>
    <w:rsid w:val="55D6790C"/>
    <w:rsid w:val="562F0520"/>
    <w:rsid w:val="5637484F"/>
    <w:rsid w:val="567F1D52"/>
    <w:rsid w:val="57560D05"/>
    <w:rsid w:val="57E22340"/>
    <w:rsid w:val="58F06369"/>
    <w:rsid w:val="59396B30"/>
    <w:rsid w:val="5AD20FEA"/>
    <w:rsid w:val="5B2D6220"/>
    <w:rsid w:val="5B536E52"/>
    <w:rsid w:val="5B721E85"/>
    <w:rsid w:val="5BD26DC8"/>
    <w:rsid w:val="5C1B251D"/>
    <w:rsid w:val="5D4C4156"/>
    <w:rsid w:val="5E5B095A"/>
    <w:rsid w:val="5ED53330"/>
    <w:rsid w:val="5F2539DE"/>
    <w:rsid w:val="5F555D46"/>
    <w:rsid w:val="6028345A"/>
    <w:rsid w:val="60BA67A8"/>
    <w:rsid w:val="6170126D"/>
    <w:rsid w:val="62781180"/>
    <w:rsid w:val="6291178B"/>
    <w:rsid w:val="637A6CCD"/>
    <w:rsid w:val="64AD0CE2"/>
    <w:rsid w:val="657C32E0"/>
    <w:rsid w:val="65AE7F5E"/>
    <w:rsid w:val="65C9566E"/>
    <w:rsid w:val="66214BD4"/>
    <w:rsid w:val="66B867E0"/>
    <w:rsid w:val="67E33780"/>
    <w:rsid w:val="67F02AB0"/>
    <w:rsid w:val="6D015ADC"/>
    <w:rsid w:val="6E9F4868"/>
    <w:rsid w:val="6F1D2119"/>
    <w:rsid w:val="6F1E3744"/>
    <w:rsid w:val="70085F8A"/>
    <w:rsid w:val="710660F4"/>
    <w:rsid w:val="7164006A"/>
    <w:rsid w:val="73AD5990"/>
    <w:rsid w:val="744F0B5E"/>
    <w:rsid w:val="751C33EC"/>
    <w:rsid w:val="75F419BD"/>
    <w:rsid w:val="76674885"/>
    <w:rsid w:val="768865A9"/>
    <w:rsid w:val="775A7F45"/>
    <w:rsid w:val="794F72FB"/>
    <w:rsid w:val="79594559"/>
    <w:rsid w:val="7ABB6F4D"/>
    <w:rsid w:val="7AC426F9"/>
    <w:rsid w:val="7C4902F7"/>
    <w:rsid w:val="7CAA7279"/>
    <w:rsid w:val="7CAB2FF1"/>
    <w:rsid w:val="7D2D6C22"/>
    <w:rsid w:val="7D450D50"/>
    <w:rsid w:val="7DCE654B"/>
    <w:rsid w:val="7E123173"/>
    <w:rsid w:val="7F0C5FC9"/>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autoRedefine/>
    <w:qFormat/>
    <w:uiPriority w:val="0"/>
    <w:pPr>
      <w:keepNext/>
      <w:keepLines/>
      <w:spacing w:before="120" w:after="120"/>
      <w:ind w:firstLine="200" w:firstLineChars="200"/>
      <w:outlineLvl w:val="1"/>
    </w:pPr>
    <w:rPr>
      <w:rFonts w:ascii="Cambria" w:hAnsi="Cambria" w:eastAsia="楷体"/>
      <w:b/>
      <w:bCs/>
      <w:sz w:val="28"/>
      <w:szCs w:val="32"/>
    </w:rPr>
  </w:style>
  <w:style w:type="paragraph" w:styleId="4">
    <w:name w:val="heading 3"/>
    <w:basedOn w:val="1"/>
    <w:next w:val="1"/>
    <w:link w:val="2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2"/>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link w:val="25"/>
    <w:autoRedefine/>
    <w:semiHidden/>
    <w:unhideWhenUsed/>
    <w:qFormat/>
    <w:uiPriority w:val="99"/>
    <w:pPr>
      <w:jc w:val="left"/>
    </w:pPr>
  </w:style>
  <w:style w:type="paragraph" w:styleId="7">
    <w:name w:val="Balloon Text"/>
    <w:basedOn w:val="1"/>
    <w:link w:val="23"/>
    <w:semiHidden/>
    <w:unhideWhenUsed/>
    <w:qFormat/>
    <w:uiPriority w:val="99"/>
    <w:rPr>
      <w:sz w:val="18"/>
      <w:szCs w:val="18"/>
    </w:rPr>
  </w:style>
  <w:style w:type="paragraph" w:styleId="8">
    <w:name w:val="footer"/>
    <w:basedOn w:val="1"/>
    <w:link w:val="18"/>
    <w:autoRedefine/>
    <w:unhideWhenUsed/>
    <w:qFormat/>
    <w:uiPriority w:val="99"/>
    <w:pPr>
      <w:tabs>
        <w:tab w:val="center" w:pos="4153"/>
        <w:tab w:val="right" w:pos="8306"/>
      </w:tabs>
      <w:snapToGrid w:val="0"/>
      <w:jc w:val="left"/>
    </w:pPr>
    <w:rPr>
      <w:sz w:val="18"/>
      <w:szCs w:val="18"/>
    </w:rPr>
  </w:style>
  <w:style w:type="paragraph" w:styleId="9">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semiHidden/>
    <w:unhideWhenUsed/>
    <w:qFormat/>
    <w:uiPriority w:val="99"/>
    <w:pPr>
      <w:widowControl/>
      <w:spacing w:before="100" w:beforeAutospacing="1" w:after="100" w:afterAutospacing="1"/>
      <w:jc w:val="left"/>
    </w:pPr>
    <w:rPr>
      <w:rFonts w:ascii="微软雅黑" w:hAnsi="微软雅黑" w:eastAsia="微软雅黑" w:cs="宋体"/>
      <w:kern w:val="0"/>
      <w:sz w:val="24"/>
      <w:szCs w:val="24"/>
    </w:rPr>
  </w:style>
  <w:style w:type="paragraph" w:styleId="11">
    <w:name w:val="annotation subject"/>
    <w:basedOn w:val="6"/>
    <w:next w:val="6"/>
    <w:link w:val="26"/>
    <w:autoRedefine/>
    <w:semiHidden/>
    <w:unhideWhenUsed/>
    <w:qFormat/>
    <w:uiPriority w:val="99"/>
    <w:rPr>
      <w:b/>
      <w:bCs/>
    </w:rPr>
  </w:style>
  <w:style w:type="table" w:styleId="13">
    <w:name w:val="Table Grid"/>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bCs/>
    </w:rPr>
  </w:style>
  <w:style w:type="character" w:styleId="16">
    <w:name w:val="annotation reference"/>
    <w:basedOn w:val="14"/>
    <w:autoRedefine/>
    <w:semiHidden/>
    <w:unhideWhenUsed/>
    <w:qFormat/>
    <w:uiPriority w:val="99"/>
    <w:rPr>
      <w:sz w:val="21"/>
      <w:szCs w:val="21"/>
    </w:rPr>
  </w:style>
  <w:style w:type="character" w:customStyle="1" w:styleId="17">
    <w:name w:val="页眉 字符"/>
    <w:basedOn w:val="14"/>
    <w:link w:val="9"/>
    <w:autoRedefine/>
    <w:qFormat/>
    <w:uiPriority w:val="99"/>
    <w:rPr>
      <w:sz w:val="18"/>
      <w:szCs w:val="18"/>
    </w:rPr>
  </w:style>
  <w:style w:type="character" w:customStyle="1" w:styleId="18">
    <w:name w:val="页脚 字符"/>
    <w:basedOn w:val="14"/>
    <w:link w:val="8"/>
    <w:autoRedefine/>
    <w:qFormat/>
    <w:uiPriority w:val="99"/>
    <w:rPr>
      <w:sz w:val="18"/>
      <w:szCs w:val="18"/>
    </w:rPr>
  </w:style>
  <w:style w:type="character" w:customStyle="1" w:styleId="19">
    <w:name w:val="标题 2 字符"/>
    <w:basedOn w:val="14"/>
    <w:link w:val="3"/>
    <w:autoRedefine/>
    <w:qFormat/>
    <w:uiPriority w:val="0"/>
    <w:rPr>
      <w:rFonts w:ascii="Cambria" w:hAnsi="Cambria" w:eastAsia="楷体" w:cs="Times New Roman"/>
      <w:b/>
      <w:bCs/>
      <w:sz w:val="28"/>
      <w:szCs w:val="32"/>
    </w:rPr>
  </w:style>
  <w:style w:type="character" w:customStyle="1" w:styleId="20">
    <w:name w:val="标题 1 字符"/>
    <w:basedOn w:val="14"/>
    <w:link w:val="2"/>
    <w:autoRedefine/>
    <w:qFormat/>
    <w:uiPriority w:val="9"/>
    <w:rPr>
      <w:rFonts w:ascii="Times New Roman" w:hAnsi="Times New Roman" w:eastAsia="宋体" w:cs="Times New Roman"/>
      <w:b/>
      <w:bCs/>
      <w:kern w:val="44"/>
      <w:sz w:val="44"/>
      <w:szCs w:val="44"/>
    </w:rPr>
  </w:style>
  <w:style w:type="character" w:customStyle="1" w:styleId="21">
    <w:name w:val="标题 3 字符"/>
    <w:basedOn w:val="14"/>
    <w:link w:val="4"/>
    <w:autoRedefine/>
    <w:qFormat/>
    <w:uiPriority w:val="9"/>
    <w:rPr>
      <w:rFonts w:ascii="Times New Roman" w:hAnsi="Times New Roman" w:eastAsia="宋体" w:cs="Times New Roman"/>
      <w:b/>
      <w:bCs/>
      <w:sz w:val="32"/>
      <w:szCs w:val="32"/>
    </w:rPr>
  </w:style>
  <w:style w:type="character" w:customStyle="1" w:styleId="22">
    <w:name w:val="标题 4 字符"/>
    <w:basedOn w:val="14"/>
    <w:link w:val="5"/>
    <w:autoRedefine/>
    <w:qFormat/>
    <w:uiPriority w:val="9"/>
    <w:rPr>
      <w:rFonts w:asciiTheme="majorHAnsi" w:hAnsiTheme="majorHAnsi" w:eastAsiaTheme="majorEastAsia" w:cstheme="majorBidi"/>
      <w:b/>
      <w:bCs/>
      <w:sz w:val="28"/>
      <w:szCs w:val="28"/>
    </w:rPr>
  </w:style>
  <w:style w:type="character" w:customStyle="1" w:styleId="23">
    <w:name w:val="批注框文本 字符"/>
    <w:basedOn w:val="14"/>
    <w:link w:val="7"/>
    <w:autoRedefine/>
    <w:semiHidden/>
    <w:qFormat/>
    <w:uiPriority w:val="99"/>
    <w:rPr>
      <w:rFonts w:ascii="Times New Roman" w:hAnsi="Times New Roman" w:eastAsia="宋体" w:cs="Times New Roman"/>
      <w:sz w:val="18"/>
      <w:szCs w:val="18"/>
    </w:rPr>
  </w:style>
  <w:style w:type="paragraph" w:customStyle="1" w:styleId="24">
    <w:name w:val="Revision"/>
    <w:autoRedefine/>
    <w:hidden/>
    <w:semiHidden/>
    <w:qFormat/>
    <w:uiPriority w:val="99"/>
    <w:rPr>
      <w:rFonts w:ascii="Times New Roman" w:hAnsi="Times New Roman" w:eastAsia="宋体" w:cs="Times New Roman"/>
      <w:kern w:val="2"/>
      <w:sz w:val="21"/>
      <w:lang w:val="en-US" w:eastAsia="zh-CN" w:bidi="ar-SA"/>
    </w:rPr>
  </w:style>
  <w:style w:type="character" w:customStyle="1" w:styleId="25">
    <w:name w:val="批注文字 字符"/>
    <w:basedOn w:val="14"/>
    <w:link w:val="6"/>
    <w:autoRedefine/>
    <w:semiHidden/>
    <w:qFormat/>
    <w:uiPriority w:val="99"/>
    <w:rPr>
      <w:rFonts w:ascii="Times New Roman" w:hAnsi="Times New Roman" w:eastAsia="宋体" w:cs="Times New Roman"/>
      <w:kern w:val="2"/>
      <w:sz w:val="21"/>
    </w:rPr>
  </w:style>
  <w:style w:type="character" w:customStyle="1" w:styleId="26">
    <w:name w:val="批注主题 字符"/>
    <w:basedOn w:val="25"/>
    <w:link w:val="11"/>
    <w:autoRedefine/>
    <w:semiHidden/>
    <w:qFormat/>
    <w:uiPriority w:val="99"/>
    <w:rPr>
      <w:rFonts w:ascii="Times New Roman" w:hAnsi="Times New Roman" w:eastAsia="宋体" w:cs="Times New Roman"/>
      <w:b/>
      <w:bCs/>
      <w:kern w:val="2"/>
      <w:sz w:val="21"/>
    </w:rPr>
  </w:style>
  <w:style w:type="character" w:customStyle="1" w:styleId="27">
    <w:name w:val="标题 1 Char"/>
    <w:link w:val="2"/>
    <w:autoRedefine/>
    <w:qFormat/>
    <w:uiPriority w:val="0"/>
    <w:rPr>
      <w:rFonts w:eastAsia="方正小标宋简体" w:asciiTheme="minorAscii" w:hAnsiTheme="minorAscii"/>
      <w:kern w:val="44"/>
      <w:sz w:val="44"/>
    </w:rPr>
  </w:style>
  <w:style w:type="paragraph" w:customStyle="1" w:styleId="28">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6473</Words>
  <Characters>6528</Characters>
  <Lines>49</Lines>
  <Paragraphs>13</Paragraphs>
  <TotalTime>10</TotalTime>
  <ScaleCrop>false</ScaleCrop>
  <LinksUpToDate>false</LinksUpToDate>
  <CharactersWithSpaces>7029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2023-09-21T08:33:00Z</dcterms:created>
  <dc:creator>张浩</dc:creator>
  <cp:lastModifiedBy>卢丹</cp:lastModifiedBy>
  <cp:lastPrinted>2023-03-29T07:41:00Z</cp:lastPrinted>
  <dcterms:modified xsi:type="dcterms:W3CDTF">2025-12-01T05:51:05Z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B87C26C340AF4C049FA68560C10401E1_13</vt:lpwstr>
  </property>
  <property fmtid="{D5CDD505-2E9C-101B-9397-08002B2CF9AE}" pid="4" name="KSOTemplateDocerSaveRecord">
    <vt:lpwstr>eyJoZGlkIjoiNThlOTE1OGUyNGU2MDllZGRkM2IzN2QyNWY3NjZkNmEiLCJ1c2VySWQiOiI0MzgwOTA2NTIifQ==</vt:lpwstr>
  </property>
</Properties>
</file>