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2AEE62">
      <w:pPr>
        <w:pStyle w:val="2"/>
        <w:spacing w:line="360" w:lineRule="auto"/>
        <w:jc w:val="center"/>
        <w:rPr>
          <w:rFonts w:hint="default"/>
          <w:lang w:val="en-US" w:eastAsia="zh-CN"/>
        </w:rPr>
      </w:pPr>
      <w:r>
        <w:rPr>
          <w:rFonts w:hint="eastAsia"/>
          <w:lang w:val="en-US" w:eastAsia="zh-CN"/>
        </w:rPr>
        <w:t>上海对外经贸大学网络安全等保测评</w:t>
      </w:r>
    </w:p>
    <w:p w14:paraId="4E3C40A1">
      <w:pPr>
        <w:pStyle w:val="2"/>
        <w:spacing w:line="360" w:lineRule="auto"/>
        <w:jc w:val="center"/>
      </w:pPr>
      <w:r>
        <w:rPr>
          <w:rFonts w:hint="eastAsia"/>
        </w:rPr>
        <w:t>采购需求</w:t>
      </w:r>
    </w:p>
    <w:p w14:paraId="7E98F59F">
      <w:pPr>
        <w:spacing w:line="360" w:lineRule="auto"/>
        <w:rPr>
          <w:rFonts w:hint="eastAsia" w:eastAsiaTheme="minorEastAsia"/>
          <w:sz w:val="24"/>
          <w:szCs w:val="22"/>
          <w:lang w:eastAsia="zh-CN"/>
        </w:rPr>
      </w:pPr>
      <w:r>
        <w:rPr>
          <w:rFonts w:hint="eastAsia"/>
          <w:sz w:val="24"/>
          <w:szCs w:val="22"/>
        </w:rPr>
        <w:t>项目名称：</w:t>
      </w:r>
      <w:bookmarkStart w:id="0" w:name="_Hlk142056719"/>
      <w:r>
        <w:rPr>
          <w:rFonts w:hint="eastAsia"/>
          <w:sz w:val="24"/>
          <w:szCs w:val="22"/>
          <w:lang w:val="en-US" w:eastAsia="zh-CN"/>
        </w:rPr>
        <w:t>网络安全</w:t>
      </w:r>
      <w:r>
        <w:rPr>
          <w:rFonts w:hint="eastAsia"/>
          <w:sz w:val="24"/>
          <w:szCs w:val="22"/>
        </w:rPr>
        <w:t>等保测评</w:t>
      </w:r>
      <w:bookmarkEnd w:id="0"/>
      <w:r>
        <w:rPr>
          <w:rFonts w:hint="eastAsia"/>
          <w:sz w:val="24"/>
          <w:szCs w:val="22"/>
          <w:lang w:val="en-US" w:eastAsia="zh-CN"/>
        </w:rPr>
        <w:t>采购</w:t>
      </w:r>
    </w:p>
    <w:p w14:paraId="22AF6795">
      <w:pPr>
        <w:spacing w:line="360" w:lineRule="auto"/>
        <w:rPr>
          <w:rFonts w:hint="eastAsia"/>
          <w:sz w:val="24"/>
          <w:szCs w:val="22"/>
          <w:lang w:val="en-US" w:eastAsia="zh-CN"/>
        </w:rPr>
      </w:pPr>
      <w:r>
        <w:rPr>
          <w:rFonts w:hint="eastAsia"/>
          <w:sz w:val="24"/>
          <w:szCs w:val="22"/>
        </w:rPr>
        <w:t>预算</w:t>
      </w:r>
      <w:r>
        <w:rPr>
          <w:rFonts w:hint="eastAsia"/>
          <w:sz w:val="24"/>
          <w:szCs w:val="22"/>
          <w:lang w:val="en-US" w:eastAsia="zh-CN"/>
        </w:rPr>
        <w:t>金额</w:t>
      </w:r>
      <w:r>
        <w:rPr>
          <w:rFonts w:hint="eastAsia"/>
          <w:sz w:val="24"/>
          <w:szCs w:val="22"/>
        </w:rPr>
        <w:t>：</w:t>
      </w:r>
      <w:r>
        <w:rPr>
          <w:rFonts w:hint="eastAsia"/>
          <w:sz w:val="24"/>
          <w:szCs w:val="22"/>
          <w:lang w:val="en-US" w:eastAsia="zh-CN"/>
        </w:rPr>
        <w:t>10万</w:t>
      </w:r>
    </w:p>
    <w:p w14:paraId="7B12431C">
      <w:pPr>
        <w:numPr>
          <w:ilvl w:val="0"/>
          <w:numId w:val="0"/>
        </w:numPr>
        <w:spacing w:line="360" w:lineRule="auto"/>
        <w:ind w:left="120" w:leftChars="0"/>
        <w:rPr>
          <w:rFonts w:hint="eastAsia"/>
          <w:sz w:val="24"/>
        </w:rPr>
      </w:pPr>
      <w:r>
        <w:rPr>
          <w:rFonts w:hint="eastAsia"/>
          <w:sz w:val="24"/>
          <w:lang w:val="en-US" w:eastAsia="zh-CN"/>
        </w:rPr>
        <w:t>一、</w:t>
      </w:r>
      <w:r>
        <w:rPr>
          <w:rFonts w:hint="eastAsia"/>
          <w:sz w:val="24"/>
        </w:rPr>
        <w:t>合理的投标人资格条件</w:t>
      </w:r>
    </w:p>
    <w:p w14:paraId="19C351F9">
      <w:pPr>
        <w:numPr>
          <w:ilvl w:val="0"/>
          <w:numId w:val="2"/>
        </w:numPr>
        <w:spacing w:line="360" w:lineRule="auto"/>
        <w:ind w:left="120" w:leftChars="0" w:firstLine="0" w:firstLineChars="0"/>
        <w:rPr>
          <w:rFonts w:hint="eastAsia"/>
          <w:sz w:val="21"/>
          <w:szCs w:val="21"/>
        </w:rPr>
      </w:pPr>
      <w:r>
        <w:rPr>
          <w:rFonts w:hint="eastAsia"/>
          <w:sz w:val="21"/>
          <w:szCs w:val="21"/>
        </w:rPr>
        <w:t>供应商须符合《中华人民共和国政府采购法》第二十二条的规定条件。</w:t>
      </w:r>
    </w:p>
    <w:p w14:paraId="4C1064C9">
      <w:pPr>
        <w:numPr>
          <w:ilvl w:val="0"/>
          <w:numId w:val="2"/>
        </w:numPr>
        <w:spacing w:line="360" w:lineRule="auto"/>
        <w:ind w:left="120" w:leftChars="0" w:firstLine="0" w:firstLineChars="0"/>
        <w:rPr>
          <w:rFonts w:hint="eastAsia"/>
          <w:sz w:val="21"/>
          <w:szCs w:val="21"/>
        </w:rPr>
      </w:pPr>
      <w:r>
        <w:rPr>
          <w:rFonts w:hint="eastAsia"/>
          <w:sz w:val="21"/>
          <w:szCs w:val="21"/>
        </w:rPr>
        <w:t>供应商应为在中华人民共和国境内依法注册且符合相关法律规定的测评服务提供商，须提供信息安全等级测评与检测评估机构服务认证证书。</w:t>
      </w:r>
    </w:p>
    <w:p w14:paraId="1BCAE89F">
      <w:pPr>
        <w:spacing w:line="360" w:lineRule="auto"/>
        <w:rPr>
          <w:sz w:val="24"/>
        </w:rPr>
      </w:pPr>
      <w:r>
        <w:rPr>
          <w:rFonts w:hint="eastAsia"/>
          <w:sz w:val="24"/>
        </w:rPr>
        <w:t>二、采购项目建设方案，需实现的功能或目标</w:t>
      </w:r>
    </w:p>
    <w:p w14:paraId="289078FE">
      <w:pPr>
        <w:numPr>
          <w:ilvl w:val="0"/>
          <w:numId w:val="0"/>
        </w:numPr>
        <w:tabs>
          <w:tab w:val="left" w:pos="140"/>
        </w:tabs>
        <w:spacing w:line="360" w:lineRule="auto"/>
        <w:ind w:leftChars="0" w:firstLine="210" w:firstLineChars="100"/>
        <w:rPr>
          <w:rFonts w:ascii="宋体" w:hAnsi="宋体" w:cs="宋体"/>
          <w:kern w:val="0"/>
          <w:szCs w:val="21"/>
        </w:rPr>
      </w:pPr>
      <w:r>
        <w:rPr>
          <w:rFonts w:hint="eastAsia" w:ascii="宋体" w:hAnsi="宋体" w:cs="宋体"/>
          <w:kern w:val="0"/>
          <w:szCs w:val="21"/>
        </w:rPr>
        <w:t>完成</w:t>
      </w:r>
      <w:r>
        <w:rPr>
          <w:rFonts w:hint="eastAsia" w:ascii="宋体" w:hAnsi="宋体" w:cs="宋体"/>
          <w:kern w:val="0"/>
          <w:szCs w:val="21"/>
          <w:lang w:val="en-US" w:eastAsia="zh-CN"/>
        </w:rPr>
        <w:t>教务</w:t>
      </w:r>
      <w:r>
        <w:rPr>
          <w:rFonts w:hint="eastAsia" w:ascii="宋体" w:hAnsi="宋体" w:cs="宋体"/>
          <w:kern w:val="0"/>
          <w:szCs w:val="21"/>
        </w:rPr>
        <w:t>系统</w:t>
      </w:r>
      <w:r>
        <w:rPr>
          <w:rFonts w:hint="eastAsia" w:ascii="宋体" w:hAnsi="宋体" w:cs="宋体"/>
          <w:kern w:val="0"/>
          <w:szCs w:val="21"/>
          <w:lang w:eastAsia="zh-CN"/>
        </w:rPr>
        <w:t>（</w:t>
      </w:r>
      <w:r>
        <w:rPr>
          <w:rFonts w:hint="eastAsia" w:ascii="宋体" w:hAnsi="宋体" w:cs="宋体"/>
          <w:kern w:val="0"/>
          <w:szCs w:val="21"/>
          <w:lang w:val="en-US" w:eastAsia="zh-CN"/>
        </w:rPr>
        <w:t>二级</w:t>
      </w:r>
      <w:r>
        <w:rPr>
          <w:rFonts w:hint="eastAsia" w:ascii="宋体" w:hAnsi="宋体" w:cs="宋体"/>
          <w:kern w:val="0"/>
          <w:szCs w:val="21"/>
          <w:lang w:eastAsia="zh-CN"/>
        </w:rPr>
        <w:t>）</w:t>
      </w:r>
      <w:r>
        <w:rPr>
          <w:rFonts w:hint="eastAsia" w:ascii="宋体" w:hAnsi="宋体" w:cs="宋体"/>
          <w:kern w:val="0"/>
          <w:szCs w:val="21"/>
          <w:lang w:val="en-US" w:eastAsia="zh-CN"/>
        </w:rPr>
        <w:t>和研究生招生教务平台（三级</w:t>
      </w:r>
      <w:bookmarkStart w:id="1" w:name="_GoBack"/>
      <w:bookmarkEnd w:id="1"/>
      <w:r>
        <w:rPr>
          <w:rFonts w:hint="eastAsia" w:ascii="宋体" w:hAnsi="宋体" w:cs="宋体"/>
          <w:kern w:val="0"/>
          <w:szCs w:val="21"/>
          <w:lang w:val="en-US" w:eastAsia="zh-CN"/>
        </w:rPr>
        <w:t>）</w:t>
      </w:r>
      <w:r>
        <w:rPr>
          <w:rFonts w:hint="eastAsia" w:ascii="宋体" w:hAnsi="宋体" w:cs="宋体"/>
          <w:kern w:val="0"/>
          <w:szCs w:val="21"/>
        </w:rPr>
        <w:t>的定级、备案、测评、整改等服务。</w:t>
      </w:r>
    </w:p>
    <w:p w14:paraId="1C983657">
      <w:pPr>
        <w:spacing w:line="360" w:lineRule="auto"/>
        <w:rPr>
          <w:sz w:val="24"/>
        </w:rPr>
      </w:pPr>
      <w:r>
        <w:rPr>
          <w:rFonts w:hint="eastAsia"/>
          <w:sz w:val="24"/>
        </w:rPr>
        <w:t>三、采购项目建设需满足的技术规格、质量、安全、物理特性等要求</w:t>
      </w:r>
    </w:p>
    <w:p w14:paraId="41C481ED">
      <w:pPr>
        <w:tabs>
          <w:tab w:val="left" w:pos="140"/>
        </w:tabs>
        <w:spacing w:line="360" w:lineRule="auto"/>
        <w:ind w:firstLine="420" w:firstLineChars="200"/>
        <w:rPr>
          <w:rFonts w:hint="eastAsia" w:ascii="宋体" w:hAnsi="宋体" w:cs="宋体"/>
          <w:kern w:val="0"/>
          <w:szCs w:val="21"/>
        </w:rPr>
      </w:pPr>
      <w:r>
        <w:rPr>
          <w:rFonts w:hint="eastAsia" w:ascii="宋体" w:hAnsi="宋体" w:cs="宋体"/>
          <w:kern w:val="0"/>
          <w:szCs w:val="21"/>
        </w:rPr>
        <w:t>测评技术主要标准：《信息安全技术 网络安全等级保护基本要求》GB/T22239-2019、《信息安全技术 网络安全等级保护测评要求》GB/T 28448-2019。</w:t>
      </w:r>
    </w:p>
    <w:p w14:paraId="5374296D">
      <w:pPr>
        <w:tabs>
          <w:tab w:val="left" w:pos="140"/>
        </w:tabs>
        <w:spacing w:line="360" w:lineRule="auto"/>
        <w:ind w:firstLine="420" w:firstLineChars="200"/>
        <w:rPr>
          <w:rFonts w:hint="eastAsia" w:ascii="宋体" w:hAnsi="宋体" w:cs="宋体"/>
          <w:kern w:val="0"/>
          <w:szCs w:val="21"/>
          <w:lang w:val="en-US" w:eastAsia="zh-CN"/>
        </w:rPr>
      </w:pPr>
      <w:r>
        <w:rPr>
          <w:rFonts w:hint="eastAsia" w:ascii="宋体" w:hAnsi="宋体" w:cs="宋体"/>
          <w:kern w:val="0"/>
          <w:szCs w:val="21"/>
          <w:lang w:val="en-US" w:eastAsia="zh-CN"/>
        </w:rPr>
        <w:t>教务系统包含本科教学一体化平台、云直播在线教学平台、在线督导系统、教学数据采集系统、教学安全管理平台、教学物联管理平台、教学流媒体平台、智慧教室平台、融合视讯平台。</w:t>
      </w:r>
    </w:p>
    <w:p w14:paraId="157F5C21">
      <w:pPr>
        <w:tabs>
          <w:tab w:val="left" w:pos="140"/>
        </w:tabs>
        <w:spacing w:line="360" w:lineRule="auto"/>
        <w:ind w:firstLine="420" w:firstLineChars="200"/>
        <w:rPr>
          <w:rFonts w:hint="default" w:ascii="宋体" w:hAnsi="宋体" w:cs="宋体"/>
          <w:kern w:val="0"/>
          <w:szCs w:val="21"/>
          <w:lang w:val="en-US" w:eastAsia="zh-CN"/>
        </w:rPr>
      </w:pPr>
      <w:r>
        <w:rPr>
          <w:rFonts w:hint="eastAsia" w:ascii="宋体" w:hAnsi="宋体" w:cs="宋体"/>
          <w:kern w:val="0"/>
          <w:szCs w:val="21"/>
          <w:lang w:val="en-US" w:eastAsia="zh-CN"/>
        </w:rPr>
        <w:t>研究生招生教务平台包含研究生教育服务平台、研究生招生系统。</w:t>
      </w:r>
    </w:p>
    <w:p w14:paraId="6672BCC9">
      <w:pPr>
        <w:spacing w:line="360" w:lineRule="auto"/>
        <w:rPr>
          <w:sz w:val="24"/>
        </w:rPr>
      </w:pPr>
      <w:r>
        <w:rPr>
          <w:rFonts w:hint="eastAsia"/>
          <w:sz w:val="24"/>
        </w:rPr>
        <w:t>四、采购项目的明细数量、交付或实施时间、地点</w:t>
      </w:r>
    </w:p>
    <w:p w14:paraId="526C6E76">
      <w:pPr>
        <w:tabs>
          <w:tab w:val="left" w:pos="140"/>
        </w:tabs>
        <w:spacing w:line="360" w:lineRule="auto"/>
        <w:ind w:firstLine="420" w:firstLineChars="200"/>
        <w:rPr>
          <w:rFonts w:hint="eastAsia" w:ascii="宋体" w:hAnsi="宋体" w:cs="宋体"/>
          <w:kern w:val="0"/>
          <w:szCs w:val="21"/>
        </w:rPr>
      </w:pPr>
      <w:r>
        <w:rPr>
          <w:rFonts w:hint="eastAsia" w:ascii="宋体" w:hAnsi="宋体" w:cs="宋体"/>
          <w:kern w:val="0"/>
          <w:szCs w:val="21"/>
          <w:lang w:val="en-US" w:eastAsia="zh-CN"/>
        </w:rPr>
        <w:t>本科教</w:t>
      </w:r>
      <w:r>
        <w:rPr>
          <w:rFonts w:hint="eastAsia" w:ascii="宋体" w:hAnsi="宋体" w:cs="宋体"/>
          <w:kern w:val="0"/>
          <w:szCs w:val="21"/>
        </w:rPr>
        <w:t>务系统</w:t>
      </w:r>
      <w:r>
        <w:rPr>
          <w:rFonts w:hint="eastAsia" w:ascii="宋体" w:hAnsi="宋体" w:cs="宋体"/>
          <w:kern w:val="0"/>
          <w:szCs w:val="21"/>
          <w:lang w:val="en-US" w:eastAsia="zh-CN"/>
        </w:rPr>
        <w:t>二级等保测评、研究生招生教务平台三级等保测评</w:t>
      </w:r>
      <w:r>
        <w:rPr>
          <w:rFonts w:hint="eastAsia" w:ascii="宋体" w:hAnsi="宋体" w:cs="宋体"/>
          <w:kern w:val="0"/>
          <w:szCs w:val="21"/>
        </w:rPr>
        <w:t>。</w:t>
      </w:r>
    </w:p>
    <w:p w14:paraId="41870AA5">
      <w:pPr>
        <w:tabs>
          <w:tab w:val="left" w:pos="140"/>
        </w:tabs>
        <w:spacing w:line="360" w:lineRule="auto"/>
        <w:ind w:firstLine="420" w:firstLineChars="200"/>
        <w:rPr>
          <w:rFonts w:hint="default" w:ascii="宋体" w:hAnsi="宋体" w:cs="宋体"/>
          <w:kern w:val="0"/>
          <w:szCs w:val="21"/>
          <w:lang w:val="en-US" w:eastAsia="zh-CN"/>
        </w:rPr>
      </w:pPr>
      <w:r>
        <w:rPr>
          <w:rFonts w:hint="eastAsia" w:ascii="宋体" w:hAnsi="宋体" w:cs="宋体"/>
          <w:kern w:val="0"/>
          <w:szCs w:val="21"/>
        </w:rPr>
        <w:t>实施时间：</w:t>
      </w:r>
      <w:r>
        <w:rPr>
          <w:rFonts w:hint="eastAsia" w:ascii="宋体" w:hAnsi="宋体" w:cs="宋体"/>
          <w:kern w:val="0"/>
          <w:szCs w:val="21"/>
          <w:lang w:val="en-US" w:eastAsia="zh-CN"/>
        </w:rPr>
        <w:t>2025年11月20日前取得证书</w:t>
      </w:r>
    </w:p>
    <w:p w14:paraId="499A081A">
      <w:pPr>
        <w:tabs>
          <w:tab w:val="left" w:pos="140"/>
        </w:tabs>
        <w:spacing w:line="360" w:lineRule="auto"/>
        <w:ind w:firstLine="420" w:firstLineChars="200"/>
        <w:rPr>
          <w:rFonts w:hint="eastAsia" w:ascii="宋体" w:hAnsi="宋体" w:cs="宋体"/>
          <w:kern w:val="0"/>
          <w:szCs w:val="21"/>
        </w:rPr>
      </w:pPr>
      <w:r>
        <w:rPr>
          <w:rFonts w:hint="eastAsia" w:ascii="宋体" w:hAnsi="宋体" w:cs="宋体"/>
          <w:kern w:val="0"/>
          <w:szCs w:val="21"/>
        </w:rPr>
        <w:t>实施地点：上海对外经贸大学松江校区</w:t>
      </w:r>
    </w:p>
    <w:p w14:paraId="4663FC19">
      <w:pPr>
        <w:spacing w:line="360" w:lineRule="auto"/>
        <w:rPr>
          <w:rFonts w:hint="eastAsia"/>
          <w:sz w:val="24"/>
        </w:rPr>
      </w:pPr>
      <w:r>
        <w:rPr>
          <w:rFonts w:hint="eastAsia"/>
          <w:sz w:val="24"/>
        </w:rPr>
        <w:t>五、采购项目需满足的服务标准、期限、效率等要求</w:t>
      </w:r>
    </w:p>
    <w:p w14:paraId="43A54358">
      <w:pPr>
        <w:spacing w:line="360" w:lineRule="auto"/>
        <w:ind w:firstLine="420" w:firstLineChars="200"/>
        <w:rPr>
          <w:rFonts w:hint="eastAsia"/>
          <w:sz w:val="21"/>
          <w:szCs w:val="21"/>
        </w:rPr>
      </w:pPr>
      <w:r>
        <w:rPr>
          <w:rFonts w:hint="eastAsia"/>
          <w:sz w:val="21"/>
          <w:szCs w:val="21"/>
        </w:rPr>
        <w:t>帮助用户完成信息系统的定级、备案准备及相关流程手续工作。</w:t>
      </w:r>
    </w:p>
    <w:p w14:paraId="57F06B8E">
      <w:pPr>
        <w:spacing w:line="360" w:lineRule="auto"/>
        <w:ind w:firstLine="408"/>
        <w:rPr>
          <w:rFonts w:hint="eastAsia"/>
          <w:sz w:val="21"/>
          <w:szCs w:val="21"/>
        </w:rPr>
      </w:pPr>
      <w:r>
        <w:rPr>
          <w:rFonts w:hint="eastAsia"/>
          <w:sz w:val="21"/>
          <w:szCs w:val="21"/>
        </w:rPr>
        <w:t>提交《信息系统网络安全等级保护整改建议》，对本次测评系统不符合网络安全等级保护有关管理规范和技术标准的，出具行之有效的整改方案，提供整改咨询，并完成整改项的再次测评服务。</w:t>
      </w:r>
    </w:p>
    <w:p w14:paraId="3D9FADFF">
      <w:pPr>
        <w:spacing w:line="360" w:lineRule="auto"/>
        <w:ind w:firstLine="408"/>
        <w:rPr>
          <w:rFonts w:hint="eastAsia"/>
          <w:sz w:val="21"/>
          <w:szCs w:val="21"/>
        </w:rPr>
      </w:pPr>
      <w:r>
        <w:rPr>
          <w:rFonts w:hint="eastAsia"/>
          <w:sz w:val="21"/>
          <w:szCs w:val="21"/>
        </w:rPr>
        <w:t>报价应包含所有相关费用，包含定级、整改、测评，并确保用户能够按照正常进度通过等保测评并获得公安机关颁发的备案证书，用户不承担因其他任何原因造成的费用追加。</w:t>
      </w:r>
    </w:p>
    <w:p w14:paraId="0C2BB8FB">
      <w:pPr>
        <w:keepNext w:val="0"/>
        <w:keepLines w:val="0"/>
        <w:widowControl w:val="0"/>
        <w:suppressLineNumbers w:val="0"/>
        <w:spacing w:before="0" w:beforeAutospacing="0" w:after="0" w:afterAutospacing="0" w:line="360" w:lineRule="auto"/>
        <w:ind w:right="0"/>
        <w:jc w:val="both"/>
        <w:rPr>
          <w:sz w:val="24"/>
          <w:szCs w:val="22"/>
          <w:lang w:val="en-US"/>
        </w:rPr>
      </w:pPr>
      <w:r>
        <w:rPr>
          <w:rFonts w:hint="eastAsia" w:ascii="Calibri" w:hAnsi="Calibri" w:eastAsia="宋体" w:cs="宋体"/>
          <w:kern w:val="2"/>
          <w:sz w:val="24"/>
          <w:szCs w:val="22"/>
          <w:lang w:val="en-US" w:eastAsia="zh-CN" w:bidi="ar"/>
        </w:rPr>
        <w:t>六、合同款项的支付方式、时间、条件</w:t>
      </w:r>
    </w:p>
    <w:p w14:paraId="16CF9F7F">
      <w:pPr>
        <w:spacing w:line="360" w:lineRule="auto"/>
        <w:ind w:firstLine="408"/>
        <w:rPr>
          <w:rFonts w:hint="eastAsia"/>
          <w:sz w:val="21"/>
          <w:szCs w:val="21"/>
          <w:lang w:val="en-US"/>
        </w:rPr>
      </w:pPr>
      <w:r>
        <w:rPr>
          <w:rFonts w:hint="eastAsia"/>
          <w:sz w:val="21"/>
          <w:szCs w:val="21"/>
          <w:lang w:val="en-US" w:eastAsia="zh-CN"/>
        </w:rPr>
        <w:t>本合同签订后十个工作日内，甲方向乙方支付合同额50%款项，2025年11月20日前，</w:t>
      </w:r>
      <w:r>
        <w:rPr>
          <w:rFonts w:hint="eastAsia"/>
          <w:sz w:val="21"/>
          <w:szCs w:val="21"/>
        </w:rPr>
        <w:t>完成</w:t>
      </w:r>
      <w:r>
        <w:rPr>
          <w:rFonts w:hint="eastAsia"/>
          <w:sz w:val="21"/>
          <w:szCs w:val="21"/>
          <w:lang w:val="en-US" w:eastAsia="zh-CN"/>
        </w:rPr>
        <w:t>所有测评</w:t>
      </w:r>
      <w:r>
        <w:rPr>
          <w:rFonts w:hint="eastAsia"/>
          <w:sz w:val="21"/>
          <w:szCs w:val="21"/>
        </w:rPr>
        <w:t>工作后10个工作日内</w:t>
      </w:r>
      <w:r>
        <w:rPr>
          <w:rFonts w:hint="eastAsia"/>
          <w:sz w:val="21"/>
          <w:szCs w:val="21"/>
          <w:lang w:eastAsia="zh-CN"/>
        </w:rPr>
        <w:t>，</w:t>
      </w:r>
      <w:r>
        <w:rPr>
          <w:rFonts w:hint="eastAsia"/>
          <w:sz w:val="21"/>
          <w:szCs w:val="21"/>
        </w:rPr>
        <w:t>甲方支付</w:t>
      </w:r>
      <w:r>
        <w:rPr>
          <w:rFonts w:hint="eastAsia"/>
          <w:sz w:val="21"/>
          <w:szCs w:val="21"/>
          <w:lang w:val="en-US" w:eastAsia="zh-CN"/>
        </w:rPr>
        <w:t>剩余合同额50</w:t>
      </w:r>
      <w:r>
        <w:rPr>
          <w:rFonts w:hint="eastAsia"/>
          <w:sz w:val="21"/>
          <w:szCs w:val="21"/>
        </w:rPr>
        <w:t>%款项</w:t>
      </w:r>
      <w:r>
        <w:rPr>
          <w:rFonts w:hint="eastAsia"/>
          <w:sz w:val="21"/>
          <w:szCs w:val="21"/>
          <w:lang w:eastAsia="zh-CN"/>
        </w:rPr>
        <w:t>，</w:t>
      </w:r>
      <w:r>
        <w:rPr>
          <w:rFonts w:hint="eastAsia"/>
          <w:sz w:val="21"/>
          <w:szCs w:val="21"/>
          <w:lang w:val="en-US" w:eastAsia="zh-CN"/>
        </w:rPr>
        <w:t>如因定级流程导致测评时间延后，双方协商而定。</w:t>
      </w:r>
      <w:r>
        <w:rPr>
          <w:rFonts w:hint="default"/>
          <w:sz w:val="21"/>
          <w:szCs w:val="21"/>
          <w:lang w:val="en-US" w:eastAsia="zh-CN"/>
        </w:rPr>
        <w:t xml:space="preserve"> </w:t>
      </w:r>
    </w:p>
    <w:p w14:paraId="75E683B8">
      <w:pPr>
        <w:spacing w:line="360" w:lineRule="auto"/>
        <w:ind w:firstLine="408"/>
        <w:rPr>
          <w:rFonts w:hint="eastAsia"/>
          <w:sz w:val="21"/>
          <w:szCs w:val="21"/>
          <w:lang w:val="en-US"/>
        </w:rPr>
      </w:pPr>
      <w:r>
        <w:rPr>
          <w:rFonts w:hint="eastAsia"/>
          <w:sz w:val="21"/>
          <w:szCs w:val="21"/>
          <w:lang w:val="en-US" w:eastAsia="zh-CN"/>
        </w:rPr>
        <w:t>七、项目验收方法或标准</w:t>
      </w:r>
    </w:p>
    <w:p w14:paraId="417AA115">
      <w:pPr>
        <w:spacing w:line="360" w:lineRule="auto"/>
        <w:ind w:firstLine="408"/>
        <w:rPr>
          <w:rFonts w:hint="eastAsia"/>
          <w:sz w:val="21"/>
          <w:szCs w:val="21"/>
          <w:lang w:val="en-US"/>
        </w:rPr>
      </w:pPr>
      <w:r>
        <w:rPr>
          <w:rFonts w:hint="eastAsia"/>
          <w:sz w:val="21"/>
          <w:szCs w:val="21"/>
          <w:lang w:val="en-US" w:eastAsia="zh-CN"/>
        </w:rPr>
        <w:t>收到测评和定级报告即为验收合格</w:t>
      </w:r>
    </w:p>
    <w:p w14:paraId="3F3D8A0C">
      <w:pPr>
        <w:spacing w:line="360" w:lineRule="auto"/>
        <w:rPr>
          <w:rFonts w:hint="default" w:eastAsiaTheme="minorEastAsia"/>
          <w:lang w:val="en-US" w:eastAsia="zh-CN"/>
        </w:rPr>
      </w:pPr>
    </w:p>
    <w:p w14:paraId="2B9CFA74">
      <w:pPr>
        <w:spacing w:line="360" w:lineRule="auto"/>
      </w:pPr>
    </w:p>
    <w:p w14:paraId="51635B8A">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85669F"/>
    <w:multiLevelType w:val="singleLevel"/>
    <w:tmpl w:val="4F85669F"/>
    <w:lvl w:ilvl="0" w:tentative="0">
      <w:start w:val="1"/>
      <w:numFmt w:val="bullet"/>
      <w:lvlText w:val=""/>
      <w:lvlJc w:val="left"/>
      <w:pPr>
        <w:ind w:left="420" w:hanging="420"/>
      </w:pPr>
      <w:rPr>
        <w:rFonts w:hint="default" w:ascii="Wingdings" w:hAnsi="Wingdings"/>
      </w:rPr>
    </w:lvl>
  </w:abstractNum>
  <w:abstractNum w:abstractNumId="1">
    <w:nsid w:val="74344862"/>
    <w:multiLevelType w:val="multilevel"/>
    <w:tmpl w:val="74344862"/>
    <w:lvl w:ilvl="0" w:tentative="0">
      <w:start w:val="1"/>
      <w:numFmt w:val="decimal"/>
      <w:isLgl/>
      <w:lvlText w:val="%1."/>
      <w:lvlJc w:val="left"/>
      <w:pPr>
        <w:tabs>
          <w:tab w:val="left" w:pos="360"/>
        </w:tabs>
        <w:ind w:left="0" w:firstLine="0"/>
      </w:pPr>
      <w:rPr>
        <w:rFonts w:hint="default" w:ascii="Arial" w:hAnsi="Arial"/>
        <w:b/>
        <w:i w:val="0"/>
        <w:sz w:val="28"/>
        <w:szCs w:val="28"/>
      </w:rPr>
    </w:lvl>
    <w:lvl w:ilvl="1" w:tentative="0">
      <w:start w:val="1"/>
      <w:numFmt w:val="decimal"/>
      <w:pStyle w:val="3"/>
      <w:lvlText w:val="%1.%2."/>
      <w:lvlJc w:val="left"/>
      <w:pPr>
        <w:tabs>
          <w:tab w:val="left" w:pos="1440"/>
        </w:tabs>
        <w:ind w:left="1287" w:hanging="567"/>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000F5A78"/>
    <w:rsid w:val="000F5A78"/>
    <w:rsid w:val="00367DCE"/>
    <w:rsid w:val="006C71FD"/>
    <w:rsid w:val="00833593"/>
    <w:rsid w:val="01306226"/>
    <w:rsid w:val="046917C8"/>
    <w:rsid w:val="10B4201D"/>
    <w:rsid w:val="11122318"/>
    <w:rsid w:val="17786B0F"/>
    <w:rsid w:val="1DEB1C4C"/>
    <w:rsid w:val="21766A74"/>
    <w:rsid w:val="22721D38"/>
    <w:rsid w:val="2587670A"/>
    <w:rsid w:val="27CA7D61"/>
    <w:rsid w:val="31474B88"/>
    <w:rsid w:val="3A4C66ED"/>
    <w:rsid w:val="49AD76E4"/>
    <w:rsid w:val="4B7A5635"/>
    <w:rsid w:val="63497D41"/>
    <w:rsid w:val="667711EB"/>
    <w:rsid w:val="670A2121"/>
    <w:rsid w:val="67A83772"/>
    <w:rsid w:val="6D821AEC"/>
    <w:rsid w:val="70BC5C25"/>
    <w:rsid w:val="71C87080"/>
    <w:rsid w:val="7D356D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qFormat/>
    <w:uiPriority w:val="9"/>
    <w:pPr>
      <w:keepNext/>
      <w:keepLines/>
      <w:numPr>
        <w:ilvl w:val="1"/>
        <w:numId w:val="1"/>
      </w:numPr>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unhideWhenUsed/>
    <w:qFormat/>
    <w:uiPriority w:val="99"/>
    <w:pPr>
      <w:ind w:firstLine="420" w:firstLineChars="200"/>
    </w:pPr>
  </w:style>
  <w:style w:type="character" w:customStyle="1" w:styleId="10">
    <w:name w:val="页眉 字符"/>
    <w:basedOn w:val="8"/>
    <w:link w:val="5"/>
    <w:qFormat/>
    <w:uiPriority w:val="0"/>
    <w:rPr>
      <w:kern w:val="2"/>
      <w:sz w:val="18"/>
      <w:szCs w:val="18"/>
    </w:rPr>
  </w:style>
  <w:style w:type="character" w:customStyle="1" w:styleId="11">
    <w:name w:val="页脚 字符"/>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820</Words>
  <Characters>861</Characters>
  <Lines>6</Lines>
  <Paragraphs>1</Paragraphs>
  <TotalTime>6</TotalTime>
  <ScaleCrop>false</ScaleCrop>
  <LinksUpToDate>false</LinksUpToDate>
  <CharactersWithSpaces>865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2023-08-02T04:33:00Z</dcterms:created>
  <dc:creator>pc</dc:creator>
  <cp:lastModifiedBy>唐玉辉</cp:lastModifiedBy>
  <dcterms:modified xsi:type="dcterms:W3CDTF">2025-10-10T01:44:28Z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396C4CED91874C0A89A534F938912705_12</vt:lpwstr>
  </property>
  <property fmtid="{D5CDD505-2E9C-101B-9397-08002B2CF9AE}" pid="4" name="KSOTemplateDocerSaveRecord">
    <vt:lpwstr>eyJoZGlkIjoiMzQxZDM5NTk5OGExMDM2NmZmMjQ3ODEyNWZkZTJiMzciLCJ1c2VySWQiOiIxNjM0OTkxNjIwIn0=</vt:lpwstr>
  </property>
</Properties>
</file>