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E8A25F">
      <w:pPr>
        <w:jc w:val="center"/>
        <w:rPr>
          <w:rFonts w:hint="eastAsia" w:ascii="方正小标宋简体" w:hAnsi="方正小标宋简体" w:eastAsia="方正小标宋简体" w:cs="方正小标宋简体"/>
          <w:b/>
          <w:sz w:val="30"/>
          <w:szCs w:val="30"/>
        </w:rPr>
      </w:pPr>
      <w:r>
        <w:rPr>
          <w:rFonts w:hint="eastAsia" w:ascii="方正小标宋简体" w:hAnsi="方正小标宋简体" w:eastAsia="方正小标宋简体" w:cs="方正小标宋简体"/>
          <w:b/>
          <w:sz w:val="30"/>
          <w:szCs w:val="30"/>
        </w:rPr>
        <w:t>上海对外经贸大学-</w:t>
      </w:r>
      <w:r>
        <w:rPr>
          <w:rFonts w:hint="eastAsia" w:ascii="方正小标宋简体" w:hAnsi="方正小标宋简体" w:eastAsia="方正小标宋简体" w:cs="方正小标宋简体"/>
          <w:b/>
          <w:sz w:val="30"/>
          <w:szCs w:val="30"/>
          <w:lang w:val="en-US" w:eastAsia="zh-CN"/>
        </w:rPr>
        <w:t>门禁系统（补缺工程弱电间增补）</w:t>
      </w:r>
      <w:r>
        <w:rPr>
          <w:rFonts w:hint="eastAsia" w:ascii="方正小标宋简体" w:hAnsi="方正小标宋简体" w:eastAsia="方正小标宋简体" w:cs="方正小标宋简体"/>
          <w:b/>
          <w:sz w:val="30"/>
          <w:szCs w:val="30"/>
        </w:rPr>
        <w:t>项目</w:t>
      </w:r>
    </w:p>
    <w:p w14:paraId="1E7542FC">
      <w:pPr>
        <w:jc w:val="center"/>
        <w:rPr>
          <w:rFonts w:hint="eastAsia" w:ascii="方正小标宋简体" w:hAnsi="方正小标宋简体" w:eastAsia="方正小标宋简体" w:cs="方正小标宋简体"/>
          <w:b/>
          <w:sz w:val="30"/>
          <w:szCs w:val="30"/>
        </w:rPr>
      </w:pPr>
      <w:r>
        <w:rPr>
          <w:rFonts w:hint="eastAsia" w:ascii="方正小标宋简体" w:hAnsi="方正小标宋简体" w:eastAsia="方正小标宋简体" w:cs="方正小标宋简体"/>
          <w:b/>
          <w:sz w:val="30"/>
          <w:szCs w:val="30"/>
        </w:rPr>
        <w:t>采购需求</w:t>
      </w:r>
    </w:p>
    <w:p w14:paraId="32EB72E1"/>
    <w:p w14:paraId="28EF09C3">
      <w:pPr>
        <w:spacing w:line="360" w:lineRule="auto"/>
        <w:rPr>
          <w:rFonts w:hint="default" w:ascii="仿宋_GB2312" w:hAnsi="仿宋_GB2312" w:eastAsia="仿宋_GB2312" w:cs="仿宋_GB2312"/>
          <w:sz w:val="24"/>
          <w:lang w:val="en-US" w:eastAsia="zh-CN"/>
        </w:rPr>
      </w:pPr>
      <w:r>
        <w:rPr>
          <w:rFonts w:hint="eastAsia" w:ascii="仿宋_GB2312" w:hAnsi="仿宋_GB2312" w:eastAsia="仿宋_GB2312" w:cs="仿宋_GB2312"/>
          <w:sz w:val="24"/>
        </w:rPr>
        <w:t>项目名称：</w:t>
      </w:r>
      <w:r>
        <w:rPr>
          <w:rFonts w:hint="eastAsia" w:ascii="仿宋_GB2312" w:hAnsi="仿宋_GB2312" w:eastAsia="仿宋_GB2312" w:cs="仿宋_GB2312"/>
          <w:sz w:val="24"/>
          <w:lang w:val="en-US" w:eastAsia="zh-CN"/>
        </w:rPr>
        <w:t>门禁系统（补缺工程弱电间增补）项目采购</w:t>
      </w:r>
    </w:p>
    <w:p w14:paraId="2F7B3FBA">
      <w:pPr>
        <w:spacing w:line="360" w:lineRule="auto"/>
        <w:rPr>
          <w:rFonts w:hint="eastAsia" w:ascii="仿宋_GB2312" w:hAnsi="仿宋_GB2312" w:eastAsia="仿宋_GB2312" w:cs="仿宋_GB2312"/>
          <w:sz w:val="24"/>
          <w:lang w:eastAsia="zh-CN"/>
        </w:rPr>
      </w:pPr>
      <w:r>
        <w:rPr>
          <w:rFonts w:hint="eastAsia" w:ascii="仿宋_GB2312" w:hAnsi="仿宋_GB2312" w:eastAsia="仿宋_GB2312" w:cs="仿宋_GB2312"/>
          <w:sz w:val="24"/>
        </w:rPr>
        <w:t>预算金额：</w:t>
      </w:r>
      <w:r>
        <w:rPr>
          <w:rFonts w:hint="eastAsia" w:ascii="仿宋_GB2312" w:hAnsi="仿宋_GB2312" w:eastAsia="仿宋_GB2312" w:cs="仿宋_GB2312"/>
          <w:sz w:val="24"/>
          <w:lang w:val="en-US" w:eastAsia="zh-CN"/>
        </w:rPr>
        <w:t>6.26万</w:t>
      </w:r>
      <w:r>
        <w:rPr>
          <w:rFonts w:hint="eastAsia" w:ascii="仿宋_GB2312" w:hAnsi="仿宋_GB2312" w:eastAsia="仿宋_GB2312" w:cs="仿宋_GB2312"/>
          <w:sz w:val="24"/>
        </w:rPr>
        <w:t>元</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超出预算报价视为无效</w:t>
      </w:r>
      <w:r>
        <w:rPr>
          <w:rFonts w:hint="eastAsia" w:ascii="仿宋_GB2312" w:hAnsi="仿宋_GB2312" w:eastAsia="仿宋_GB2312" w:cs="仿宋_GB2312"/>
          <w:sz w:val="24"/>
          <w:lang w:eastAsia="zh-CN"/>
        </w:rPr>
        <w:t>）</w:t>
      </w:r>
    </w:p>
    <w:p w14:paraId="504299FB">
      <w:pPr>
        <w:spacing w:line="360" w:lineRule="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采购方式：</w:t>
      </w:r>
      <w:r>
        <w:rPr>
          <w:rFonts w:hint="eastAsia" w:ascii="仿宋_GB2312" w:hAnsi="仿宋_GB2312" w:eastAsia="仿宋_GB2312" w:cs="仿宋_GB2312"/>
          <w:sz w:val="24"/>
          <w:lang w:val="en-US" w:eastAsia="zh-CN"/>
        </w:rPr>
        <w:t>学校分散采购-公开比价</w:t>
      </w:r>
    </w:p>
    <w:p w14:paraId="2902CC34">
      <w:pPr>
        <w:spacing w:line="360" w:lineRule="auto"/>
        <w:rPr>
          <w:sz w:val="24"/>
        </w:rPr>
      </w:pPr>
    </w:p>
    <w:p w14:paraId="63BE69C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bCs/>
          <w:sz w:val="24"/>
        </w:rPr>
      </w:pPr>
      <w:r>
        <w:rPr>
          <w:rFonts w:hint="eastAsia" w:ascii="黑体" w:hAnsi="黑体" w:eastAsia="黑体" w:cs="黑体"/>
          <w:b/>
          <w:bCs/>
          <w:sz w:val="24"/>
        </w:rPr>
        <w:t>一、</w:t>
      </w:r>
      <w:r>
        <w:rPr>
          <w:rFonts w:hint="eastAsia" w:ascii="黑体" w:hAnsi="黑体" w:eastAsia="黑体" w:cs="黑体"/>
          <w:b/>
          <w:bCs/>
          <w:sz w:val="24"/>
          <w:szCs w:val="24"/>
        </w:rPr>
        <w:t>合理的投标人资格条件</w:t>
      </w:r>
    </w:p>
    <w:p w14:paraId="31EFFD9D">
      <w:p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.符合《中华人民共和国政府采购法》第二十二条所规定的条件；</w:t>
      </w:r>
    </w:p>
    <w:p w14:paraId="6504F58E">
      <w:p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.具有独立企业法人资格；</w:t>
      </w:r>
    </w:p>
    <w:p w14:paraId="017F360B">
      <w:p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3.在本市具有固定的办公场所及相关管理维护队伍，能提供良好的规范技术支持和服务管理；</w:t>
      </w:r>
    </w:p>
    <w:p w14:paraId="25ED8DED">
      <w:p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未被列入“信用中国”网站（www.creditchina.gov.cn）失信被执行人、重大税收违法案件当事人名单、政府采购严重违法失信行为记录名单和中国政府采购网（www.ccgp.gov.cn）政府采购严重违法失信行为记录名单的供应商；</w:t>
      </w:r>
    </w:p>
    <w:p w14:paraId="2A4EEAF5">
      <w:p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5.本次采购不接受联合体报价。</w:t>
      </w:r>
    </w:p>
    <w:p w14:paraId="3A08847A">
      <w:p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.报价文件要求及相关材料：</w:t>
      </w:r>
    </w:p>
    <w:p w14:paraId="5FCF5699">
      <w:p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提供投标人营业执照（复印件，加盖公章）。</w:t>
      </w:r>
    </w:p>
    <w:p w14:paraId="7B271A17">
      <w:p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2</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密封报价单（加盖公章）。</w:t>
      </w:r>
    </w:p>
    <w:p w14:paraId="6B6843B6">
      <w:p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（3）授权人委托书（与报名表联系人一致并盖章）。</w:t>
      </w:r>
    </w:p>
    <w:p w14:paraId="2B4DC689">
      <w:p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投标人认为有必要提供的其他材料。</w:t>
      </w:r>
      <w:bookmarkStart w:id="0" w:name="_GoBack"/>
      <w:bookmarkEnd w:id="0"/>
    </w:p>
    <w:p w14:paraId="5B0D35AD">
      <w:pPr>
        <w:spacing w:line="360" w:lineRule="auto"/>
        <w:rPr>
          <w:rFonts w:hint="eastAsia" w:ascii="黑体" w:hAnsi="黑体" w:eastAsia="黑体" w:cs="黑体"/>
          <w:b/>
          <w:bCs/>
          <w:sz w:val="24"/>
        </w:rPr>
      </w:pPr>
      <w:r>
        <w:rPr>
          <w:rFonts w:hint="eastAsia" w:ascii="黑体" w:hAnsi="黑体" w:eastAsia="黑体" w:cs="黑体"/>
          <w:b/>
          <w:bCs/>
          <w:sz w:val="24"/>
        </w:rPr>
        <w:t>二、采购项目建设方案，需实现的功能或目标</w:t>
      </w:r>
    </w:p>
    <w:p w14:paraId="372DF8D2">
      <w:pPr>
        <w:spacing w:line="360" w:lineRule="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我校现有门禁系统采用大华物联网平台架构，在用读卡器、门禁控制器、通道授权等配套硬件设备统一为大华品牌。为落实弱电间出入管控标准化、规范化管理要求，本次项目为弱电间门禁补缺采购及安装工程，涉及 32 处弱电间房门门禁设备供货、布设与安装调试。</w:t>
      </w:r>
    </w:p>
    <w:p w14:paraId="383A31E3">
      <w:pPr>
        <w:spacing w:line="360" w:lineRule="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本项目采用总价包干承包方式，成交供应商须结合项目现场实际工况深化、优化实施方案，统筹包含可预见、不可预见在内的本项目全流程全部配套工作内容；不得因采购清单缺项、漏项、内容不完善等事由延误项目工期，或另行提出增补价款诉求。</w:t>
      </w:r>
    </w:p>
    <w:p w14:paraId="6A95FE5C">
      <w:pPr>
        <w:spacing w:line="360" w:lineRule="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本项目相关条款释义及最终解释权归属上海对外经贸大学信息技术中心。</w:t>
      </w:r>
    </w:p>
    <w:p w14:paraId="4C82E867">
      <w:pPr>
        <w:spacing w:line="360" w:lineRule="auto"/>
        <w:rPr>
          <w:rFonts w:hint="eastAsia" w:ascii="黑体" w:hAnsi="黑体" w:eastAsia="黑体" w:cs="黑体"/>
          <w:b/>
          <w:bCs/>
          <w:sz w:val="24"/>
        </w:rPr>
      </w:pPr>
      <w:r>
        <w:rPr>
          <w:rFonts w:hint="eastAsia" w:ascii="黑体" w:hAnsi="黑体" w:eastAsia="黑体" w:cs="黑体"/>
          <w:b/>
          <w:bCs/>
          <w:sz w:val="24"/>
        </w:rPr>
        <w:t>三、采购项目的明细数量</w:t>
      </w:r>
    </w:p>
    <w:tbl>
      <w:tblPr>
        <w:tblStyle w:val="8"/>
        <w:tblW w:w="9943"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3"/>
        <w:gridCol w:w="1980"/>
        <w:gridCol w:w="1835"/>
        <w:gridCol w:w="2720"/>
        <w:gridCol w:w="950"/>
        <w:gridCol w:w="1635"/>
      </w:tblGrid>
      <w:tr w14:paraId="07EB3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4" w:hRule="atLeast"/>
        </w:trPr>
        <w:tc>
          <w:tcPr>
            <w:tcW w:w="823" w:type="dxa"/>
            <w:tcBorders>
              <w:top w:val="single" w:color="000000" w:sz="4" w:space="0"/>
              <w:left w:val="single" w:color="000000" w:sz="4" w:space="0"/>
              <w:bottom w:val="single" w:color="000000" w:sz="4" w:space="0"/>
              <w:right w:val="single" w:color="000000" w:sz="4" w:space="0"/>
            </w:tcBorders>
            <w:shd w:val="clear" w:color="auto" w:fill="104861"/>
            <w:noWrap/>
            <w:vAlign w:val="center"/>
          </w:tcPr>
          <w:p w14:paraId="4A90FF4B">
            <w:pPr>
              <w:keepNext w:val="0"/>
              <w:keepLines w:val="0"/>
              <w:widowControl/>
              <w:suppressLineNumbers w:val="0"/>
              <w:jc w:val="center"/>
              <w:textAlignment w:val="center"/>
              <w:rPr>
                <w:rFonts w:ascii="微软雅黑" w:hAnsi="微软雅黑" w:eastAsia="微软雅黑" w:cs="微软雅黑"/>
                <w:b/>
                <w:bCs/>
                <w:i w:val="0"/>
                <w:iCs w:val="0"/>
                <w:color w:val="FFFFFF"/>
                <w:sz w:val="24"/>
                <w:szCs w:val="24"/>
                <w:u w:val="none"/>
              </w:rPr>
            </w:pPr>
            <w:r>
              <w:rPr>
                <w:rFonts w:hint="eastAsia" w:ascii="微软雅黑" w:hAnsi="微软雅黑" w:eastAsia="微软雅黑" w:cs="微软雅黑"/>
                <w:b/>
                <w:bCs/>
                <w:i w:val="0"/>
                <w:iCs w:val="0"/>
                <w:color w:val="FFFFFF"/>
                <w:kern w:val="0"/>
                <w:sz w:val="24"/>
                <w:szCs w:val="24"/>
                <w:u w:val="none"/>
                <w:lang w:val="en-US" w:eastAsia="zh-CN" w:bidi="ar"/>
              </w:rPr>
              <w:t>序号</w:t>
            </w:r>
          </w:p>
        </w:tc>
        <w:tc>
          <w:tcPr>
            <w:tcW w:w="1980" w:type="dxa"/>
            <w:tcBorders>
              <w:top w:val="single" w:color="000000" w:sz="4" w:space="0"/>
              <w:left w:val="single" w:color="000000" w:sz="4" w:space="0"/>
              <w:bottom w:val="single" w:color="000000" w:sz="4" w:space="0"/>
              <w:right w:val="single" w:color="000000" w:sz="4" w:space="0"/>
            </w:tcBorders>
            <w:shd w:val="clear" w:color="auto" w:fill="104861"/>
            <w:noWrap/>
            <w:vAlign w:val="center"/>
          </w:tcPr>
          <w:p w14:paraId="01D0CD5B">
            <w:pPr>
              <w:keepNext w:val="0"/>
              <w:keepLines w:val="0"/>
              <w:widowControl/>
              <w:suppressLineNumbers w:val="0"/>
              <w:jc w:val="center"/>
              <w:textAlignment w:val="center"/>
              <w:rPr>
                <w:rFonts w:hint="eastAsia" w:ascii="微软雅黑" w:hAnsi="微软雅黑" w:eastAsia="微软雅黑" w:cs="微软雅黑"/>
                <w:b/>
                <w:bCs/>
                <w:i w:val="0"/>
                <w:iCs w:val="0"/>
                <w:color w:val="FFFFFF"/>
                <w:sz w:val="24"/>
                <w:szCs w:val="24"/>
                <w:u w:val="none"/>
              </w:rPr>
            </w:pPr>
            <w:r>
              <w:rPr>
                <w:rFonts w:hint="eastAsia" w:ascii="微软雅黑" w:hAnsi="微软雅黑" w:eastAsia="微软雅黑" w:cs="微软雅黑"/>
                <w:b/>
                <w:bCs/>
                <w:i w:val="0"/>
                <w:iCs w:val="0"/>
                <w:color w:val="FFFFFF"/>
                <w:kern w:val="0"/>
                <w:sz w:val="24"/>
                <w:szCs w:val="24"/>
                <w:u w:val="none"/>
                <w:lang w:val="en-US" w:eastAsia="zh-CN" w:bidi="ar"/>
              </w:rPr>
              <w:t>产品名称</w:t>
            </w:r>
          </w:p>
        </w:tc>
        <w:tc>
          <w:tcPr>
            <w:tcW w:w="1835" w:type="dxa"/>
            <w:tcBorders>
              <w:top w:val="single" w:color="000000" w:sz="4" w:space="0"/>
              <w:left w:val="single" w:color="000000" w:sz="4" w:space="0"/>
              <w:bottom w:val="single" w:color="000000" w:sz="4" w:space="0"/>
              <w:right w:val="single" w:color="000000" w:sz="4" w:space="0"/>
            </w:tcBorders>
            <w:shd w:val="clear" w:color="auto" w:fill="104861"/>
            <w:noWrap/>
            <w:vAlign w:val="center"/>
          </w:tcPr>
          <w:p w14:paraId="26EC7CAF">
            <w:pPr>
              <w:keepNext w:val="0"/>
              <w:keepLines w:val="0"/>
              <w:widowControl/>
              <w:suppressLineNumbers w:val="0"/>
              <w:jc w:val="center"/>
              <w:textAlignment w:val="center"/>
              <w:rPr>
                <w:rFonts w:hint="eastAsia" w:ascii="微软雅黑" w:hAnsi="微软雅黑" w:eastAsia="微软雅黑" w:cs="微软雅黑"/>
                <w:b/>
                <w:bCs/>
                <w:i w:val="0"/>
                <w:iCs w:val="0"/>
                <w:color w:val="FFFFFF"/>
                <w:sz w:val="24"/>
                <w:szCs w:val="24"/>
                <w:u w:val="none"/>
              </w:rPr>
            </w:pPr>
            <w:r>
              <w:rPr>
                <w:rFonts w:hint="eastAsia" w:ascii="微软雅黑" w:hAnsi="微软雅黑" w:eastAsia="微软雅黑" w:cs="微软雅黑"/>
                <w:b/>
                <w:bCs/>
                <w:i w:val="0"/>
                <w:iCs w:val="0"/>
                <w:color w:val="FFFFFF"/>
                <w:kern w:val="0"/>
                <w:sz w:val="24"/>
                <w:szCs w:val="24"/>
                <w:u w:val="none"/>
                <w:lang w:val="en-US" w:eastAsia="zh-CN" w:bidi="ar"/>
              </w:rPr>
              <w:t>产品型号</w:t>
            </w:r>
          </w:p>
        </w:tc>
        <w:tc>
          <w:tcPr>
            <w:tcW w:w="2720" w:type="dxa"/>
            <w:tcBorders>
              <w:top w:val="single" w:color="000000" w:sz="4" w:space="0"/>
              <w:left w:val="single" w:color="000000" w:sz="4" w:space="0"/>
              <w:bottom w:val="single" w:color="000000" w:sz="4" w:space="0"/>
              <w:right w:val="single" w:color="000000" w:sz="4" w:space="0"/>
            </w:tcBorders>
            <w:shd w:val="clear" w:color="auto" w:fill="104861"/>
            <w:noWrap/>
            <w:vAlign w:val="center"/>
          </w:tcPr>
          <w:p w14:paraId="1962746F">
            <w:pPr>
              <w:keepNext w:val="0"/>
              <w:keepLines w:val="0"/>
              <w:widowControl/>
              <w:suppressLineNumbers w:val="0"/>
              <w:jc w:val="center"/>
              <w:textAlignment w:val="center"/>
              <w:rPr>
                <w:rFonts w:hint="eastAsia" w:ascii="微软雅黑" w:hAnsi="微软雅黑" w:eastAsia="微软雅黑" w:cs="微软雅黑"/>
                <w:b/>
                <w:bCs/>
                <w:i w:val="0"/>
                <w:iCs w:val="0"/>
                <w:color w:val="FFFFFF"/>
                <w:sz w:val="24"/>
                <w:szCs w:val="24"/>
                <w:u w:val="none"/>
              </w:rPr>
            </w:pPr>
            <w:r>
              <w:rPr>
                <w:rFonts w:hint="eastAsia" w:ascii="微软雅黑" w:hAnsi="微软雅黑" w:eastAsia="微软雅黑" w:cs="微软雅黑"/>
                <w:b/>
                <w:bCs/>
                <w:i w:val="0"/>
                <w:iCs w:val="0"/>
                <w:color w:val="FFFFFF"/>
                <w:kern w:val="0"/>
                <w:sz w:val="24"/>
                <w:szCs w:val="24"/>
                <w:u w:val="none"/>
                <w:lang w:val="en-US" w:eastAsia="zh-CN" w:bidi="ar"/>
              </w:rPr>
              <w:t xml:space="preserve">产品描述 </w:t>
            </w:r>
          </w:p>
        </w:tc>
        <w:tc>
          <w:tcPr>
            <w:tcW w:w="950" w:type="dxa"/>
            <w:tcBorders>
              <w:top w:val="single" w:color="000000" w:sz="4" w:space="0"/>
              <w:left w:val="single" w:color="000000" w:sz="4" w:space="0"/>
              <w:bottom w:val="single" w:color="000000" w:sz="4" w:space="0"/>
              <w:right w:val="single" w:color="000000" w:sz="4" w:space="0"/>
            </w:tcBorders>
            <w:shd w:val="clear" w:color="auto" w:fill="104861"/>
            <w:noWrap/>
            <w:vAlign w:val="center"/>
          </w:tcPr>
          <w:p w14:paraId="60402436">
            <w:pPr>
              <w:keepNext w:val="0"/>
              <w:keepLines w:val="0"/>
              <w:widowControl/>
              <w:suppressLineNumbers w:val="0"/>
              <w:jc w:val="center"/>
              <w:textAlignment w:val="center"/>
              <w:rPr>
                <w:rFonts w:hint="eastAsia" w:ascii="微软雅黑" w:hAnsi="微软雅黑" w:eastAsia="微软雅黑" w:cs="微软雅黑"/>
                <w:b/>
                <w:bCs/>
                <w:i w:val="0"/>
                <w:iCs w:val="0"/>
                <w:color w:val="FFFFFF"/>
                <w:sz w:val="24"/>
                <w:szCs w:val="24"/>
                <w:u w:val="none"/>
              </w:rPr>
            </w:pPr>
            <w:r>
              <w:rPr>
                <w:rFonts w:hint="eastAsia" w:ascii="微软雅黑" w:hAnsi="微软雅黑" w:eastAsia="微软雅黑" w:cs="微软雅黑"/>
                <w:b/>
                <w:bCs/>
                <w:i w:val="0"/>
                <w:iCs w:val="0"/>
                <w:color w:val="FFFFFF"/>
                <w:kern w:val="0"/>
                <w:sz w:val="24"/>
                <w:szCs w:val="24"/>
                <w:u w:val="none"/>
                <w:lang w:val="en-US" w:eastAsia="zh-CN" w:bidi="ar"/>
              </w:rPr>
              <w:t>总数量</w:t>
            </w:r>
          </w:p>
        </w:tc>
        <w:tc>
          <w:tcPr>
            <w:tcW w:w="1635" w:type="dxa"/>
            <w:tcBorders>
              <w:top w:val="single" w:color="000000" w:sz="4" w:space="0"/>
              <w:left w:val="single" w:color="000000" w:sz="4" w:space="0"/>
              <w:bottom w:val="single" w:color="000000" w:sz="4" w:space="0"/>
              <w:right w:val="single" w:color="000000" w:sz="4" w:space="0"/>
            </w:tcBorders>
            <w:shd w:val="clear" w:color="auto" w:fill="104861"/>
            <w:noWrap/>
            <w:vAlign w:val="center"/>
          </w:tcPr>
          <w:p w14:paraId="7A480930">
            <w:pPr>
              <w:keepNext w:val="0"/>
              <w:keepLines w:val="0"/>
              <w:widowControl/>
              <w:suppressLineNumbers w:val="0"/>
              <w:jc w:val="center"/>
              <w:textAlignment w:val="center"/>
              <w:rPr>
                <w:rFonts w:hint="eastAsia" w:ascii="微软雅黑" w:hAnsi="微软雅黑" w:eastAsia="微软雅黑" w:cs="微软雅黑"/>
                <w:b/>
                <w:bCs/>
                <w:i w:val="0"/>
                <w:iCs w:val="0"/>
                <w:color w:val="FFFFFF"/>
                <w:sz w:val="24"/>
                <w:szCs w:val="24"/>
                <w:u w:val="none"/>
              </w:rPr>
            </w:pPr>
            <w:r>
              <w:rPr>
                <w:rFonts w:hint="eastAsia" w:ascii="微软雅黑" w:hAnsi="微软雅黑" w:eastAsia="微软雅黑" w:cs="微软雅黑"/>
                <w:b/>
                <w:bCs/>
                <w:i w:val="0"/>
                <w:iCs w:val="0"/>
                <w:color w:val="FFFFFF"/>
                <w:kern w:val="0"/>
                <w:sz w:val="24"/>
                <w:szCs w:val="24"/>
                <w:u w:val="none"/>
                <w:lang w:val="en-US" w:eastAsia="zh-CN" w:bidi="ar"/>
              </w:rPr>
              <w:t>备注</w:t>
            </w:r>
          </w:p>
        </w:tc>
      </w:tr>
      <w:tr w14:paraId="476E5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0831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E289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大华人脸识别读卡器</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CD59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DH-ASI6213S-QW</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CEB2B">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支持人脸、二维码、刷卡、密码</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08CA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32</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65B3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人脸二维码读卡器</w:t>
            </w:r>
          </w:p>
        </w:tc>
      </w:tr>
      <w:tr w14:paraId="4608F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69CF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B0F6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280KG单门磁力锁</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2A2D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锁：DH-ASF280AL</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95021">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国标大华磁力锁280P</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B67E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32</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B5C7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锁具</w:t>
            </w:r>
          </w:p>
        </w:tc>
      </w:tr>
      <w:tr w14:paraId="47A0D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645A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DD65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大华铁箱型四门单向门禁控制器(V2)</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3DC93">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DH-ASC4204C-X</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3909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支持4路门禁接入控制器</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8FE1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0678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门禁控制器</w:t>
            </w:r>
          </w:p>
        </w:tc>
      </w:tr>
      <w:tr w14:paraId="0F808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860F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6CDE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大华900款出门按钮</w:t>
            </w: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469F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DH-ASF900</w:t>
            </w:r>
          </w:p>
        </w:tc>
        <w:tc>
          <w:tcPr>
            <w:tcW w:w="2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AFDF2">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大华出门按钮</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A1D3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32</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07DB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开门按钮</w:t>
            </w:r>
          </w:p>
        </w:tc>
      </w:tr>
      <w:tr w14:paraId="70317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14EF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5</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971B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12V10A电源适配器</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43B96">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STD-WAX120-12L</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A1B8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小耳朵供电电源</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5D86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32</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8AFC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门禁电源</w:t>
            </w:r>
          </w:p>
        </w:tc>
      </w:tr>
      <w:tr w14:paraId="7041F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4B1D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6</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95FB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电源线</w:t>
            </w: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2C2A8">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电源线2*1.5</w:t>
            </w:r>
          </w:p>
        </w:tc>
        <w:tc>
          <w:tcPr>
            <w:tcW w:w="2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7B74A">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起帆国标电源线rvv2*1.5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92B1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1200</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4FCD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电源线</w:t>
            </w:r>
          </w:p>
        </w:tc>
      </w:tr>
      <w:tr w14:paraId="0B6F4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435D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7</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7E3C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网线</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00C2C">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DH-PFM1920I-6UN</w:t>
            </w:r>
          </w:p>
        </w:tc>
        <w:tc>
          <w:tcPr>
            <w:tcW w:w="2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8EFF4">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大华双绞非屏蔽6类网线</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B1E3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1200</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95D1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网线</w:t>
            </w:r>
          </w:p>
        </w:tc>
      </w:tr>
      <w:tr w14:paraId="6A300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55CE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8</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FE8E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辅材</w:t>
            </w: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6B797">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3公分</w:t>
            </w:r>
          </w:p>
        </w:tc>
        <w:tc>
          <w:tcPr>
            <w:tcW w:w="2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A8A4E">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国产线槽</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46D1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400</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A466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线槽辅材</w:t>
            </w:r>
          </w:p>
        </w:tc>
      </w:tr>
      <w:tr w14:paraId="4BA45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0"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49D6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3B8A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人工安装调试</w:t>
            </w: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5F10B">
            <w:pPr>
              <w:keepNext w:val="0"/>
              <w:keepLines w:val="0"/>
              <w:widowControl/>
              <w:suppressLineNumbers w:val="0"/>
              <w:jc w:val="left"/>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布线安装、接入系统可用</w:t>
            </w:r>
          </w:p>
        </w:tc>
        <w:tc>
          <w:tcPr>
            <w:tcW w:w="2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A92A4">
            <w:pPr>
              <w:keepNext w:val="0"/>
              <w:keepLines w:val="0"/>
              <w:widowControl/>
              <w:suppressLineNumbers w:val="0"/>
              <w:jc w:val="left"/>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含布线施工，锁具安装调试布线，接入现有大华平台系统等</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4696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32</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20FEF">
            <w:pPr>
              <w:keepNext w:val="0"/>
              <w:keepLines w:val="0"/>
              <w:widowControl/>
              <w:suppressLineNumbers w:val="0"/>
              <w:jc w:val="center"/>
              <w:textAlignment w:val="center"/>
              <w:rPr>
                <w:rFonts w:hint="default" w:ascii="微软雅黑" w:hAnsi="微软雅黑" w:eastAsia="微软雅黑" w:cs="微软雅黑"/>
                <w:i w:val="0"/>
                <w:iCs w:val="0"/>
                <w:color w:val="000000"/>
                <w:sz w:val="18"/>
                <w:szCs w:val="18"/>
                <w:u w:val="none"/>
                <w:lang w:val="en-US"/>
              </w:rPr>
            </w:pPr>
            <w:r>
              <w:rPr>
                <w:rFonts w:hint="eastAsia" w:ascii="微软雅黑" w:hAnsi="微软雅黑" w:eastAsia="微软雅黑" w:cs="微软雅黑"/>
                <w:i w:val="0"/>
                <w:iCs w:val="0"/>
                <w:color w:val="000000"/>
                <w:kern w:val="0"/>
                <w:sz w:val="18"/>
                <w:szCs w:val="18"/>
                <w:u w:val="none"/>
                <w:lang w:val="en-US" w:eastAsia="zh-CN" w:bidi="ar"/>
              </w:rPr>
              <w:t>布线锁具安装施工费等</w:t>
            </w:r>
          </w:p>
        </w:tc>
      </w:tr>
      <w:tr w14:paraId="4F106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 w:hRule="atLeast"/>
        </w:trPr>
        <w:tc>
          <w:tcPr>
            <w:tcW w:w="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63A4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w:t>
            </w:r>
          </w:p>
        </w:tc>
        <w:tc>
          <w:tcPr>
            <w:tcW w:w="19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4E6C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ICC平台门禁通道授权</w:t>
            </w:r>
          </w:p>
        </w:tc>
        <w:tc>
          <w:tcPr>
            <w:tcW w:w="1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33DD5">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大华平台通道授权</w:t>
            </w:r>
          </w:p>
        </w:tc>
        <w:tc>
          <w:tcPr>
            <w:tcW w:w="2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4D249">
            <w:pPr>
              <w:keepNext w:val="0"/>
              <w:keepLines w:val="0"/>
              <w:widowControl/>
              <w:suppressLineNumbers w:val="0"/>
              <w:jc w:val="left"/>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通道软件授权</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35C1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32</w:t>
            </w:r>
          </w:p>
        </w:tc>
        <w:tc>
          <w:tcPr>
            <w:tcW w:w="16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B394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大华平台软件通道授权</w:t>
            </w:r>
          </w:p>
        </w:tc>
      </w:tr>
    </w:tbl>
    <w:p w14:paraId="3D93DA33">
      <w:pPr>
        <w:spacing w:line="360" w:lineRule="auto"/>
        <w:ind w:firstLine="480" w:firstLineChars="200"/>
        <w:rPr>
          <w:rFonts w:hint="default" w:ascii="仿宋" w:hAnsi="仿宋" w:eastAsia="仿宋" w:cs="仿宋_GB2312"/>
          <w:sz w:val="24"/>
          <w:szCs w:val="24"/>
          <w:lang w:val="en-US" w:eastAsia="zh-CN"/>
        </w:rPr>
      </w:pPr>
    </w:p>
    <w:p w14:paraId="060BFC2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bCs/>
          <w:sz w:val="24"/>
        </w:rPr>
      </w:pPr>
      <w:r>
        <w:rPr>
          <w:rFonts w:hint="eastAsia" w:ascii="黑体" w:hAnsi="黑体" w:eastAsia="黑体" w:cs="黑体"/>
          <w:b/>
          <w:bCs/>
          <w:sz w:val="24"/>
          <w:lang w:val="en-US" w:eastAsia="zh-CN"/>
        </w:rPr>
        <w:t>四</w:t>
      </w:r>
      <w:r>
        <w:rPr>
          <w:rFonts w:hint="eastAsia" w:ascii="黑体" w:hAnsi="黑体" w:eastAsia="黑体" w:cs="黑体"/>
          <w:b/>
          <w:bCs/>
          <w:sz w:val="24"/>
        </w:rPr>
        <w:t>、项目实施时间和地点</w:t>
      </w:r>
    </w:p>
    <w:p w14:paraId="67686EE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24"/>
          <w:lang w:eastAsia="zh-CN"/>
        </w:rPr>
      </w:pPr>
      <w:r>
        <w:rPr>
          <w:rFonts w:hint="eastAsia" w:ascii="仿宋_GB2312" w:hAnsi="仿宋_GB2312" w:eastAsia="仿宋_GB2312" w:cs="仿宋_GB2312"/>
          <w:b w:val="0"/>
          <w:bCs w:val="0"/>
          <w:sz w:val="24"/>
        </w:rPr>
        <w:t>实施</w:t>
      </w:r>
      <w:r>
        <w:rPr>
          <w:rFonts w:hint="eastAsia" w:ascii="仿宋_GB2312" w:hAnsi="仿宋_GB2312" w:eastAsia="仿宋_GB2312" w:cs="仿宋_GB2312"/>
          <w:b w:val="0"/>
          <w:bCs w:val="0"/>
          <w:sz w:val="24"/>
          <w:lang w:val="en-US" w:eastAsia="zh-CN"/>
        </w:rPr>
        <w:t>完成</w:t>
      </w:r>
      <w:r>
        <w:rPr>
          <w:rFonts w:hint="eastAsia" w:ascii="仿宋_GB2312" w:hAnsi="仿宋_GB2312" w:eastAsia="仿宋_GB2312" w:cs="仿宋_GB2312"/>
          <w:b w:val="0"/>
          <w:bCs w:val="0"/>
          <w:sz w:val="24"/>
        </w:rPr>
        <w:t>时间：合同签订后</w:t>
      </w:r>
      <w:r>
        <w:rPr>
          <w:rFonts w:hint="eastAsia" w:ascii="仿宋_GB2312" w:hAnsi="仿宋_GB2312" w:eastAsia="仿宋_GB2312" w:cs="仿宋_GB2312"/>
          <w:b w:val="0"/>
          <w:bCs w:val="0"/>
          <w:sz w:val="24"/>
          <w:lang w:val="en-US" w:eastAsia="zh-CN"/>
        </w:rPr>
        <w:t>一个月内</w:t>
      </w:r>
    </w:p>
    <w:p w14:paraId="14E21C1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24"/>
          <w:lang w:val="en-US" w:eastAsia="zh-CN"/>
        </w:rPr>
      </w:pPr>
      <w:r>
        <w:rPr>
          <w:rFonts w:hint="eastAsia" w:ascii="仿宋_GB2312" w:hAnsi="仿宋_GB2312" w:eastAsia="仿宋_GB2312" w:cs="仿宋_GB2312"/>
          <w:b w:val="0"/>
          <w:bCs w:val="0"/>
          <w:sz w:val="24"/>
        </w:rPr>
        <w:t>地点：上海对外经贸大学（松江区文翔路1900号）</w:t>
      </w:r>
      <w:r>
        <w:rPr>
          <w:rFonts w:hint="eastAsia" w:ascii="仿宋_GB2312" w:hAnsi="仿宋_GB2312" w:eastAsia="仿宋_GB2312" w:cs="仿宋_GB2312"/>
          <w:b w:val="0"/>
          <w:bCs w:val="0"/>
          <w:sz w:val="24"/>
          <w:lang w:val="en-US" w:eastAsia="zh-CN"/>
        </w:rPr>
        <w:t>补缺工程楼宇（2栋楼宇分别14间，1栋4间，共计32间）弱电间</w:t>
      </w:r>
    </w:p>
    <w:p w14:paraId="589D711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bCs/>
          <w:sz w:val="24"/>
        </w:rPr>
      </w:pPr>
      <w:r>
        <w:rPr>
          <w:rFonts w:hint="eastAsia" w:ascii="黑体" w:hAnsi="黑体" w:eastAsia="黑体" w:cs="黑体"/>
          <w:b/>
          <w:bCs/>
          <w:sz w:val="24"/>
          <w:lang w:val="en-US" w:eastAsia="zh-CN"/>
        </w:rPr>
        <w:t>五</w:t>
      </w:r>
      <w:r>
        <w:rPr>
          <w:rFonts w:hint="eastAsia" w:ascii="黑体" w:hAnsi="黑体" w:eastAsia="黑体" w:cs="黑体"/>
          <w:b/>
          <w:bCs/>
          <w:sz w:val="24"/>
        </w:rPr>
        <w:t>、合同款项的支付方式</w:t>
      </w:r>
    </w:p>
    <w:p w14:paraId="1EA9539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b w:val="0"/>
          <w:bCs w:val="0"/>
          <w:sz w:val="24"/>
        </w:rPr>
      </w:pPr>
      <w:r>
        <w:rPr>
          <w:rFonts w:hint="eastAsia" w:ascii="仿宋_GB2312" w:hAnsi="仿宋_GB2312" w:eastAsia="仿宋_GB2312" w:cs="仿宋_GB2312"/>
          <w:b w:val="0"/>
          <w:bCs w:val="0"/>
          <w:sz w:val="24"/>
        </w:rPr>
        <w:t>合同签订后，甲方在收到有效的增值税普通发票后</w:t>
      </w:r>
      <w:r>
        <w:rPr>
          <w:rFonts w:hint="eastAsia" w:ascii="仿宋_GB2312" w:hAnsi="仿宋_GB2312" w:eastAsia="仿宋_GB2312" w:cs="仿宋_GB2312"/>
          <w:b w:val="0"/>
          <w:bCs w:val="0"/>
          <w:sz w:val="24"/>
          <w:lang w:val="en-US" w:eastAsia="zh-CN"/>
        </w:rPr>
        <w:t>一个月</w:t>
      </w:r>
      <w:r>
        <w:rPr>
          <w:rFonts w:hint="eastAsia" w:ascii="仿宋_GB2312" w:hAnsi="仿宋_GB2312" w:eastAsia="仿宋_GB2312" w:cs="仿宋_GB2312"/>
          <w:b w:val="0"/>
          <w:bCs w:val="0"/>
          <w:sz w:val="24"/>
        </w:rPr>
        <w:t>内即向乙方支付</w:t>
      </w:r>
      <w:r>
        <w:rPr>
          <w:rFonts w:hint="eastAsia" w:ascii="仿宋_GB2312" w:hAnsi="仿宋_GB2312" w:eastAsia="仿宋_GB2312" w:cs="仿宋_GB2312"/>
          <w:b w:val="0"/>
          <w:bCs w:val="0"/>
          <w:sz w:val="24"/>
          <w:lang w:val="en-US" w:eastAsia="zh-CN"/>
        </w:rPr>
        <w:t>5</w:t>
      </w:r>
      <w:r>
        <w:rPr>
          <w:rFonts w:hint="eastAsia" w:ascii="仿宋_GB2312" w:hAnsi="仿宋_GB2312" w:eastAsia="仿宋_GB2312" w:cs="仿宋_GB2312"/>
          <w:b w:val="0"/>
          <w:bCs w:val="0"/>
          <w:sz w:val="24"/>
        </w:rPr>
        <w:t>0%合同款，待项目验收通过后支付余款。</w:t>
      </w:r>
    </w:p>
    <w:p w14:paraId="59C2720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bCs/>
          <w:sz w:val="24"/>
        </w:rPr>
      </w:pPr>
      <w:r>
        <w:rPr>
          <w:rFonts w:hint="eastAsia" w:ascii="黑体" w:hAnsi="黑体" w:eastAsia="黑体" w:cs="黑体"/>
          <w:b/>
          <w:bCs/>
          <w:sz w:val="24"/>
          <w:lang w:val="en-US" w:eastAsia="zh-CN"/>
        </w:rPr>
        <w:t>六</w:t>
      </w:r>
      <w:r>
        <w:rPr>
          <w:rFonts w:hint="eastAsia" w:ascii="黑体" w:hAnsi="黑体" w:eastAsia="黑体" w:cs="黑体"/>
          <w:b/>
          <w:bCs/>
          <w:sz w:val="24"/>
        </w:rPr>
        <w:t>、项目验收方法或标准</w:t>
      </w:r>
    </w:p>
    <w:p w14:paraId="4876C23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val="0"/>
          <w:bCs w:val="0"/>
          <w:sz w:val="24"/>
        </w:rPr>
      </w:pPr>
      <w:r>
        <w:rPr>
          <w:rFonts w:hint="eastAsia" w:ascii="仿宋_GB2312" w:hAnsi="仿宋_GB2312" w:eastAsia="仿宋_GB2312" w:cs="仿宋_GB2312"/>
          <w:b w:val="0"/>
          <w:bCs w:val="0"/>
          <w:sz w:val="24"/>
        </w:rPr>
        <w:t>安装实施完成并正常运行后组织验收</w:t>
      </w:r>
    </w:p>
    <w:p w14:paraId="03D19B5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黑体" w:hAnsi="黑体" w:eastAsia="黑体" w:cs="黑体"/>
          <w:b/>
          <w:bCs/>
          <w:sz w:val="24"/>
        </w:rPr>
      </w:pPr>
      <w:r>
        <w:rPr>
          <w:rFonts w:hint="eastAsia" w:ascii="黑体" w:hAnsi="黑体" w:eastAsia="黑体" w:cs="黑体"/>
          <w:b/>
          <w:bCs/>
          <w:sz w:val="24"/>
          <w:lang w:val="en-US" w:eastAsia="zh-CN"/>
        </w:rPr>
        <w:t>七</w:t>
      </w:r>
      <w:r>
        <w:rPr>
          <w:rFonts w:hint="eastAsia" w:ascii="黑体" w:hAnsi="黑体" w:eastAsia="黑体" w:cs="黑体"/>
          <w:b/>
          <w:bCs/>
          <w:sz w:val="24"/>
        </w:rPr>
        <w:t>、售后服务要求</w:t>
      </w:r>
    </w:p>
    <w:p w14:paraId="54C55EA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黑体" w:hAnsi="黑体" w:eastAsia="黑体" w:cs="黑体"/>
          <w:b/>
          <w:bCs/>
          <w:sz w:val="24"/>
          <w:lang w:val="en-US" w:eastAsia="zh-CN"/>
        </w:rPr>
      </w:pPr>
      <w:r>
        <w:rPr>
          <w:rFonts w:hint="eastAsia" w:ascii="仿宋_GB2312" w:hAnsi="仿宋_GB2312" w:eastAsia="仿宋_GB2312" w:cs="仿宋_GB2312"/>
          <w:b w:val="0"/>
          <w:bCs w:val="0"/>
          <w:sz w:val="24"/>
          <w:lang w:val="en-US" w:eastAsia="zh-CN"/>
        </w:rPr>
        <w:t>三年维保</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KSOFBFDA8B98">
    <w:panose1 w:val="0201060103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D5C"/>
    <w:rsid w:val="00034D32"/>
    <w:rsid w:val="00054D09"/>
    <w:rsid w:val="0012102F"/>
    <w:rsid w:val="00136AD7"/>
    <w:rsid w:val="001D6811"/>
    <w:rsid w:val="00205FDF"/>
    <w:rsid w:val="00236F25"/>
    <w:rsid w:val="002620F2"/>
    <w:rsid w:val="002C04D0"/>
    <w:rsid w:val="0032313F"/>
    <w:rsid w:val="003A517A"/>
    <w:rsid w:val="003B2260"/>
    <w:rsid w:val="004453F9"/>
    <w:rsid w:val="00450929"/>
    <w:rsid w:val="00455EF0"/>
    <w:rsid w:val="00456F4A"/>
    <w:rsid w:val="00463845"/>
    <w:rsid w:val="00522905"/>
    <w:rsid w:val="00547710"/>
    <w:rsid w:val="00581002"/>
    <w:rsid w:val="00582AAE"/>
    <w:rsid w:val="00601822"/>
    <w:rsid w:val="00617D5C"/>
    <w:rsid w:val="006268AB"/>
    <w:rsid w:val="006310B1"/>
    <w:rsid w:val="00681EB0"/>
    <w:rsid w:val="00727C32"/>
    <w:rsid w:val="00737BFA"/>
    <w:rsid w:val="007A4A79"/>
    <w:rsid w:val="007D6257"/>
    <w:rsid w:val="007E3E57"/>
    <w:rsid w:val="0081207F"/>
    <w:rsid w:val="00843E14"/>
    <w:rsid w:val="008B3DCA"/>
    <w:rsid w:val="0095018B"/>
    <w:rsid w:val="00991195"/>
    <w:rsid w:val="009C1119"/>
    <w:rsid w:val="009F1A76"/>
    <w:rsid w:val="009F2C96"/>
    <w:rsid w:val="00A02D9A"/>
    <w:rsid w:val="00A56018"/>
    <w:rsid w:val="00AE040E"/>
    <w:rsid w:val="00B37A17"/>
    <w:rsid w:val="00B464A9"/>
    <w:rsid w:val="00B73FB6"/>
    <w:rsid w:val="00B85E19"/>
    <w:rsid w:val="00BD6494"/>
    <w:rsid w:val="00C05E3B"/>
    <w:rsid w:val="00C220D7"/>
    <w:rsid w:val="00C26144"/>
    <w:rsid w:val="00C85ADA"/>
    <w:rsid w:val="00CB63B9"/>
    <w:rsid w:val="00D757D7"/>
    <w:rsid w:val="00DC518C"/>
    <w:rsid w:val="00E80B3E"/>
    <w:rsid w:val="00E97C15"/>
    <w:rsid w:val="00F62930"/>
    <w:rsid w:val="00F85095"/>
    <w:rsid w:val="00FA72BB"/>
    <w:rsid w:val="064C75F3"/>
    <w:rsid w:val="06F512E6"/>
    <w:rsid w:val="0AB22E87"/>
    <w:rsid w:val="0D505771"/>
    <w:rsid w:val="11F61298"/>
    <w:rsid w:val="13345697"/>
    <w:rsid w:val="1689613D"/>
    <w:rsid w:val="17B60D70"/>
    <w:rsid w:val="1B4C2769"/>
    <w:rsid w:val="1C311031"/>
    <w:rsid w:val="1D3B71DD"/>
    <w:rsid w:val="22B801CA"/>
    <w:rsid w:val="252C36B4"/>
    <w:rsid w:val="27963594"/>
    <w:rsid w:val="28404E89"/>
    <w:rsid w:val="287175A0"/>
    <w:rsid w:val="2A6C5BC4"/>
    <w:rsid w:val="2BBB1C9F"/>
    <w:rsid w:val="30D0071A"/>
    <w:rsid w:val="35EF058A"/>
    <w:rsid w:val="3BF57B11"/>
    <w:rsid w:val="3E355E9B"/>
    <w:rsid w:val="3FE173F0"/>
    <w:rsid w:val="4032245D"/>
    <w:rsid w:val="40926FFF"/>
    <w:rsid w:val="45BF33F9"/>
    <w:rsid w:val="467E0548"/>
    <w:rsid w:val="496A697F"/>
    <w:rsid w:val="4A4848C5"/>
    <w:rsid w:val="4B8244EA"/>
    <w:rsid w:val="4F775027"/>
    <w:rsid w:val="550E35F2"/>
    <w:rsid w:val="5A312881"/>
    <w:rsid w:val="5C6F0F17"/>
    <w:rsid w:val="60566219"/>
    <w:rsid w:val="622F4D7B"/>
    <w:rsid w:val="656B3EE1"/>
    <w:rsid w:val="665A7B6F"/>
    <w:rsid w:val="6F831C99"/>
    <w:rsid w:val="700C6E11"/>
    <w:rsid w:val="762C7D68"/>
    <w:rsid w:val="79312F28"/>
    <w:rsid w:val="7CA440AA"/>
    <w:rsid w:val="7F4A0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4"/>
    <w:semiHidden/>
    <w:unhideWhenUsed/>
    <w:qFormat/>
    <w:uiPriority w:val="99"/>
    <w:rPr>
      <w:rFonts w:ascii="宋体" w:eastAsia="宋体"/>
      <w:sz w:val="18"/>
      <w:szCs w:val="18"/>
    </w:rPr>
  </w:style>
  <w:style w:type="paragraph" w:styleId="3">
    <w:name w:val="annotation text"/>
    <w:basedOn w:val="1"/>
    <w:link w:val="17"/>
    <w:semiHidden/>
    <w:unhideWhenUsed/>
    <w:qFormat/>
    <w:uiPriority w:val="99"/>
    <w:pPr>
      <w:jc w:val="left"/>
    </w:pPr>
  </w:style>
  <w:style w:type="paragraph" w:styleId="4">
    <w:name w:val="Balloon Text"/>
    <w:basedOn w:val="1"/>
    <w:link w:val="11"/>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8"/>
    <w:semiHidden/>
    <w:unhideWhenUsed/>
    <w:qFormat/>
    <w:uiPriority w:val="99"/>
    <w:rPr>
      <w:b/>
      <w:bCs/>
    </w:rPr>
  </w:style>
  <w:style w:type="character" w:styleId="10">
    <w:name w:val="annotation reference"/>
    <w:basedOn w:val="9"/>
    <w:semiHidden/>
    <w:unhideWhenUsed/>
    <w:qFormat/>
    <w:uiPriority w:val="99"/>
    <w:rPr>
      <w:sz w:val="21"/>
      <w:szCs w:val="21"/>
    </w:rPr>
  </w:style>
  <w:style w:type="character" w:customStyle="1" w:styleId="11">
    <w:name w:val="批注框文本 字符"/>
    <w:basedOn w:val="9"/>
    <w:link w:val="4"/>
    <w:semiHidden/>
    <w:qFormat/>
    <w:uiPriority w:val="99"/>
    <w:rPr>
      <w:sz w:val="18"/>
      <w:szCs w:val="18"/>
    </w:rPr>
  </w:style>
  <w:style w:type="character" w:customStyle="1" w:styleId="12">
    <w:name w:val="页眉 字符"/>
    <w:basedOn w:val="9"/>
    <w:link w:val="6"/>
    <w:qFormat/>
    <w:uiPriority w:val="99"/>
    <w:rPr>
      <w:sz w:val="18"/>
      <w:szCs w:val="18"/>
    </w:rPr>
  </w:style>
  <w:style w:type="character" w:customStyle="1" w:styleId="13">
    <w:name w:val="页脚 字符"/>
    <w:basedOn w:val="9"/>
    <w:link w:val="5"/>
    <w:qFormat/>
    <w:uiPriority w:val="99"/>
    <w:rPr>
      <w:sz w:val="18"/>
      <w:szCs w:val="18"/>
    </w:rPr>
  </w:style>
  <w:style w:type="character" w:customStyle="1" w:styleId="14">
    <w:name w:val="文档结构图 字符"/>
    <w:basedOn w:val="9"/>
    <w:link w:val="2"/>
    <w:semiHidden/>
    <w:qFormat/>
    <w:uiPriority w:val="99"/>
    <w:rPr>
      <w:rFonts w:ascii="宋体" w:eastAsia="宋体"/>
      <w:sz w:val="18"/>
      <w:szCs w:val="18"/>
    </w:rPr>
  </w:style>
  <w:style w:type="paragraph" w:styleId="15">
    <w:name w:val="List Paragraph"/>
    <w:basedOn w:val="1"/>
    <w:link w:val="16"/>
    <w:qFormat/>
    <w:uiPriority w:val="34"/>
    <w:pPr>
      <w:ind w:firstLine="420" w:firstLineChars="200"/>
    </w:pPr>
  </w:style>
  <w:style w:type="character" w:customStyle="1" w:styleId="16">
    <w:name w:val="列表段落 字符"/>
    <w:link w:val="15"/>
    <w:qFormat/>
    <w:uiPriority w:val="34"/>
  </w:style>
  <w:style w:type="character" w:customStyle="1" w:styleId="17">
    <w:name w:val="批注文字 字符"/>
    <w:basedOn w:val="9"/>
    <w:link w:val="3"/>
    <w:semiHidden/>
    <w:qFormat/>
    <w:uiPriority w:val="99"/>
  </w:style>
  <w:style w:type="character" w:customStyle="1" w:styleId="18">
    <w:name w:val="批注主题 字符"/>
    <w:basedOn w:val="17"/>
    <w:link w:val="7"/>
    <w:semiHidden/>
    <w:qFormat/>
    <w:uiPriority w:val="99"/>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1112</Words>
  <Characters>1279</Characters>
  <Lines>20</Lines>
  <Paragraphs>5</Paragraphs>
  <TotalTime>1</TotalTime>
  <ScaleCrop>false</ScaleCrop>
  <LinksUpToDate>false</LinksUpToDate>
  <CharactersWithSpaces>1282</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2019-01-24T01:19:00Z</dcterms:created>
  <dc:creator>王丽雯</dc:creator>
  <cp:lastModifiedBy>一休哥</cp:lastModifiedBy>
  <cp:lastPrinted>2025-03-20T05:07:00Z</cp:lastPrinted>
  <dcterms:modified xsi:type="dcterms:W3CDTF">2026-06-08T02:32:28Z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4066384B028D4ED1A56BBEC93F33152B_13</vt:lpwstr>
  </property>
  <property fmtid="{D5CDD505-2E9C-101B-9397-08002B2CF9AE}" pid="4" name="KSOTemplateDocerSaveRecord">
    <vt:lpwstr>eyJoZGlkIjoiYWNhM2ZhMjMxOWE3MmM1NmQ3NjI1MjNlYzdkMDBjZGEiLCJ1c2VySWQiOiIxNDcwMDMwNTIyIn0=</vt:lpwstr>
  </property>
</Properties>
</file>