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5E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5"/>
          <w:rFonts w:hint="eastAsia" w:ascii="宋体" w:hAnsi="宋体" w:eastAsia="宋体" w:cs="宋体"/>
          <w:i w:val="0"/>
          <w:iCs w:val="0"/>
          <w:caps w:val="0"/>
          <w:color w:val="000000"/>
          <w:spacing w:val="0"/>
          <w:sz w:val="32"/>
          <w:szCs w:val="32"/>
          <w:shd w:val="clear" w:fill="FEFEFE"/>
        </w:rPr>
      </w:pPr>
      <w:bookmarkStart w:id="0" w:name="_GoBack"/>
      <w:bookmarkEnd w:id="0"/>
      <w:r>
        <w:rPr>
          <w:rStyle w:val="5"/>
          <w:rFonts w:hint="eastAsia" w:ascii="宋体" w:hAnsi="宋体" w:eastAsia="宋体" w:cs="宋体"/>
          <w:i w:val="0"/>
          <w:iCs w:val="0"/>
          <w:caps w:val="0"/>
          <w:color w:val="000000"/>
          <w:spacing w:val="0"/>
          <w:sz w:val="32"/>
          <w:szCs w:val="32"/>
          <w:shd w:val="clear" w:fill="FEFEFE"/>
        </w:rPr>
        <w:t>2026年度决策咨询研究市场监管专项课题指南</w:t>
      </w:r>
    </w:p>
    <w:p w14:paraId="44B23D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5"/>
          <w:rFonts w:hint="eastAsia" w:ascii="宋体" w:hAnsi="宋体" w:eastAsia="宋体" w:cs="宋体"/>
          <w:i w:val="0"/>
          <w:iCs w:val="0"/>
          <w:caps w:val="0"/>
          <w:color w:val="000000"/>
          <w:spacing w:val="0"/>
          <w:sz w:val="24"/>
          <w:szCs w:val="24"/>
          <w:shd w:val="clear" w:fill="FEFEFE"/>
        </w:rPr>
      </w:pPr>
    </w:p>
    <w:p w14:paraId="1B48F87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一、人工智能赋能上海市场监管现代化体系与路径研究</w:t>
      </w:r>
    </w:p>
    <w:p w14:paraId="0C459F9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随着人工智能技术持续升级并加速应用，其在提升监管精细化、增强执法支撑能力的同时，也对既有监管边界、规则适配与协同机制提出更高要求。在新业态、新模式不断涌现的背景下，依赖事后监管难以有效匹配风险生成更快、传播更广、链条更长的现实特征，容易造成违法成本外溢、消费者权益受损与市场秩序波动等问题。上海作为全国改革开放排头兵和数字经济发展高地，市场主体高度集聚、平台经济活跃、消费场景丰富多元，监管对象与风险类型呈现跨界化、隐蔽化、动态化等特点。为更好维护公平竞争的市场秩序与可预期的营商环境，上海亟需主动识变、科学应变，以人工智能赋能为抓手推进市场监管治理现代化，推动“事后处置”向“事前预防”转变，系统完善与之相匹配的规则体系、协同治理机制与能力支撑条件，形成更具前瞻性、针对性与可操作性的治理现代化路径和政策建议。课题重点研究但不限于以下方面:</w:t>
      </w:r>
    </w:p>
    <w:p w14:paraId="71059EEB">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  1.聚焦典型应用场景，梳理人工智能赋能市场监管的重点需求与关键环节，重点覆盖风险较为集中、监管需求较为迫切的场景。</w:t>
      </w:r>
    </w:p>
    <w:p w14:paraId="6D99487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  2.围绕典型场景开展事前监管转型的制度与流程适配评估，突出当前能力的短板弱项。</w:t>
      </w:r>
    </w:p>
    <w:p w14:paraId="150D6E0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  3.人工智能赋能监管的合规边界与治理规则研究，聚焦应用中的职责划分、程序规范、证据支撑、信息安全与个人权益保护等重点问题，提出可执行的规则建议与操作指引。</w:t>
      </w:r>
    </w:p>
    <w:p w14:paraId="7082F13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  4.国内外市场监管现代化能力建设的做法与经验借鉴，提炼对上海具有参考价值的组织模式与能力建设路径。</w:t>
      </w:r>
    </w:p>
    <w:p w14:paraId="285EED2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  5.结合上海实际，提出推进典型场景下事前监管的总体思路、实施路径与重点突破口，形成可落地执行的具体对策建议与配套保障措施。</w:t>
      </w:r>
    </w:p>
    <w:p w14:paraId="4FF336C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二、消费者参与国际标准共治研究</w:t>
      </w:r>
    </w:p>
    <w:p w14:paraId="754986F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随着我国深度融入全球经济，消费领域的国际标准对国内市场和消费者权益的影响日益显著。然而，当前国际标准制定中消费者话语权普遍薄弱，导致部分标准与我国消费文化、实际需求、使用习惯存在偏差，甚至可能对消费者权益造成隐形损害。在此背景下，探索消费者参与国际标准共治的有效机制与路径，成为推动消费溯源治理、助力消费提质升级的实际需要。本课题从消保实践出发，对国际标准制定过程中消费者参与机制、代表性及存在问题进行梳理，结合案例提出包括组织模式、人才建设、机制保障等消费者参与国际标准共治的方案，搭建消费者参与国际标准共治的常态化、便捷化平台。课题重点研究但不限于以下方面：</w:t>
      </w:r>
    </w:p>
    <w:p w14:paraId="369F7E5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  1.梳理消费者参与国际标准共治的法理基础和制度缺口，研究现有国际标准制定过程中消费者参与现状，分析其局限性及原因。</w:t>
      </w:r>
    </w:p>
    <w:p w14:paraId="00D72E6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  2.选取家电、家居、数字服务等上海具有产业优势或高消费关联度的领域，研究国内外消费者及消费者组织参与相关国际标准制定的典型案例及其发展方向。</w:t>
      </w:r>
    </w:p>
    <w:p w14:paraId="7B62A6E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  3.构建符合我国国情、可操作性强的消费者参与国际标准共治的系统方案，探索建立“组织协同、人才支撑、流程嵌入、保障激励”的实施路径。</w:t>
      </w:r>
    </w:p>
    <w:p w14:paraId="205ED98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  4. 从国家战略、地方实践、社会组织能力建设等层面，提出政策建议，推动形成从国家到地方、从政府到社会的消费者参与国际标准协同共治格局。</w:t>
      </w:r>
    </w:p>
    <w:p w14:paraId="112F891D">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三、上海市场监管领域涉外法治风险防控体系构建研究</w:t>
      </w:r>
    </w:p>
    <w:p w14:paraId="42A0010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随着高水平对外开放深入推进，跨境经营主体准入、进出口商品质量监管、涉外知识产权保护、跨境竞争执法等市场监管领域涉外事务日益频繁。与此同时，不同国家和地区市场监管规则差异较大，涉外执法管辖权冲突、合规标准不统一、跨境维权成本高、涉外法治人才短缺等问题凸显，市场监管部门面临的涉外法治风险不断攀升。在此背景下，构建一套系统完备、科学高效的涉外法治风险防控体系，成为提升市场监管现代化水平、服务对外开放大局的迫切需求。本课题立足市场监管职能，探索涉外法治风险的类型划分、识别机制与防控路径，丰富市场监管法治理论与涉外法治风险治理理论，为相关领域学术研究提供参考。课题重点研究但不限于以下方面：</w:t>
      </w:r>
    </w:p>
    <w:p w14:paraId="74051BB8">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  1.市场监管领域涉外法治风险的类型梳理与特征分析，界定涉外法治风险的内涵与外延，从市场准入、质量监管、知识产权保护、竞争执法、跨境广告监管等维度，梳理风险具体类型。</w:t>
      </w:r>
    </w:p>
    <w:p w14:paraId="19A56FE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  2.市场监管领域涉外法治风险的成因剖析，剖析风险形成的深层原因。</w:t>
      </w:r>
    </w:p>
    <w:p w14:paraId="42985FD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  3.市场监管领域涉外法治风险防控体系的构建路径，构建“风险识别—风险评估—风险应对—风险预警—长效保障”的全链条防控体系。</w:t>
      </w:r>
    </w:p>
    <w:p w14:paraId="5DDF219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  4.典型案例研究与实践验证，选取跨境电商质量监管、涉外反垄断执法、进出口食品安全监管等领域的典型案例，分析现有风险防控措施的成效与不足，验证所构建防控体系的可行性与适用性。</w:t>
      </w:r>
    </w:p>
    <w:p w14:paraId="0CD281F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四、长三角市场监管一体化赋能上海（长三角）国际科创中心建设的路径与对策研究</w:t>
      </w:r>
    </w:p>
    <w:p w14:paraId="12181FF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建设具有全球影响力的上海（长三角）国际科创中心是国家重大战略部署，需要上海发挥国际化优势，引领带动长三角全域一体化创新。长三角区域一体化发展国家战略强调要打破区域壁垒，提高政策协同。市场监管一体化是实现区域一体化的重要内容，其深度与广度直接影响创新要素的自由流动、高效配置与生态优化，是助力上海（长三角）国际科创中心建设的重要支撑条件。当前，长三角区域内市场监管在规则标准、执法尺度、服务规范、信息共享等方面仍存在差异和壁垒，制约了区域创新链产业链的深度融合与整体效能提升。如何推动市场监管一体化与上海（长三角）国际科创中心建设需求精准对接，构建有利于原始创新、技术转化和产业孵化的统一、规范、高效、包容的长三角市场监管协同体系，成为亟待研究的课题。本课题将深入剖析长三角市场监管一体化与上海（长三角）国际科创中心建设的内在逻辑关系，系统评估长三角市场监管一体化现状与科创需求之间的差距，借鉴国际先进经验，在最大限度破除创新壁垒、激发创新活力、保障创新安全等方面提出长三角市场监管一体化赋能上海（长三角）国际科创中心建设的方法路径与对策建议。课题重点研究但不限于以下方面：</w:t>
      </w:r>
    </w:p>
    <w:p w14:paraId="15E95C90">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  1.全面梳理上海（长三角）国际科创中心建设对长三角市场监管一体化提出的新要求、新挑战。</w:t>
      </w:r>
    </w:p>
    <w:p w14:paraId="4580806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  2.深入分析当前长三角市场监管一体化在服务上海（长三角）国际科创中心方面存在的体制机制障碍与协同短板。</w:t>
      </w:r>
    </w:p>
    <w:p w14:paraId="6C67C24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  3.研究借鉴全球主要科创区域如何通过灵活有效的监管策略支持科技创新，及其区域协同治理经验。</w:t>
      </w:r>
    </w:p>
    <w:p w14:paraId="178AE50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  4.结合实际，提出适应上海（长三角）国际科创中心建设的长三角市场监管一体化的具体路径、关键任务与对策建议。</w:t>
      </w:r>
    </w:p>
    <w:p w14:paraId="1B15442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五、数字生态下企业重要商业标识保护研究</w:t>
      </w:r>
    </w:p>
    <w:p w14:paraId="4134586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当前，全球市场业态加速迭代、竞争模式深度升级，商业标识作为企业品牌价值的核心载体、市场竞争的关键利器，其功能已从单纯的“来源标明”向“信誉象征”延伸，附带的经济价值往往远超商品本身。随着数字经济的快速发展，注册商标以外的特有商品名称、包装装潢等商业标识的重要性日益凸显，快保护的需求迫切。这类侵权形式呈现出复杂性、隐蔽性、跨域性等新特征,对执法实践和理论研究提出了新挑战。《反不正当竞争法》于2025年10月15日施行，关于混淆行为的修订，立足数字经济发展现状，通过扩展保护客体、厘清关键词使用规则、延伸责任链条，构建了更为立体和精准的原则体系，需要进一步细化落地规则。在此背景下，结合新修订的《反不正当竞争法》，厘清相关法律的适用边界，填补交叉领域的研究空白，为新型商业标识侵权行为提出更加完善的保护措施，具有重要的现实意义。</w:t>
      </w:r>
    </w:p>
    <w:p w14:paraId="7779AB4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本课题坚持问题导向与实践导向相结合，聚焦数字经济深度发展背景下的企业商业标识保护问题，系统分析现实需要、问题所在和制度目标，提出对商业标识保护的完善建议。课题重点研究但不限于以下几个方面：</w:t>
      </w:r>
    </w:p>
    <w:p w14:paraId="6CFAB128">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  1.界定商业标识在数字生态下的内涵与外延，探究法律保护商业标识的核心逻辑与制度目标。</w:t>
      </w:r>
    </w:p>
    <w:p w14:paraId="4FF13CE0">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  2.通过调研，系统梳理当前保护工作中存在的突出问题，剖析问题产生的制度性、技术性与实践性根源。</w:t>
      </w:r>
    </w:p>
    <w:p w14:paraId="4DC2E76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  3.在比较分析的基础上，结合新修订的《反不正当竞争法》，破解法律适用冲突与衔接难题，完善认定标准、判断规则。</w:t>
      </w:r>
    </w:p>
    <w:p w14:paraId="215D5A2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  4.深入剖析数字场景下商业标识侵权的新类型与新特征，结合监管实际，提出对商业标识保护的完善建议。</w:t>
      </w:r>
    </w:p>
    <w:p w14:paraId="6C5C1AC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六、“专业+标准化”融合式人才培养赋能现代化产业体系高质量发展研究</w:t>
      </w:r>
    </w:p>
    <w:p w14:paraId="0881B8E0">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建设具有全球影响力的现代化产业体系是党的二十届四中全会明确的核心任务，也是上海服务国家战略、巩固经济中心城市地位的关键抓手。上海正全力构建“2+3+6+6”现代化产业体系，聚焦集成电路、生物医药、人工智能三大先导产业，着力提升产业链供应链自主可控能力与国际竞争力。标准作为产业发展的核心技术规则与制度保障，是连接科技创新、产业升级与国际竞争的关键纽带，其有效落地离不开高素质人才的支撑。</w:t>
      </w:r>
    </w:p>
    <w:p w14:paraId="4ED2831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当前，上海现代化产业体系建设对复合型国际化人才提出了更高要求：战略关键领域的专业技术人才在具备扎实的技术功底同时，还需提升标准思维与规则建构能力，以更好地将技术创新成果转化为行业标准与市场规则；现有标准化从业人员还需加强对前沿技术原理、产业生态布局及生产实践需求的深入理解，以更好地在研发创新、产业链协同等关键环节提供精准有效的标准化支撑。因此，上海需从创新链产业链协同和高质量发展的战略高度，响应市场监管总局、教育部关于加强“专业与标准化教育融合”的政策导向，探索“专业+标准化”融合式人才培养的上海模式，增强标准化对全领域一体化创新转化与质量提升的内驱力。</w:t>
      </w:r>
    </w:p>
    <w:p w14:paraId="75D3FB28">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本课题将深入剖析融合式人才培养与现代化产业体系建设的内在逻辑关系，系统评估当前人才培养现状与产业需求的匹配，借鉴国际先进经验，在明确培养目标、构建培养模式、完善试点机制等方面提出具体路径与对策建议，为上海现代化产业体系高质量发展提供坚实人才支撑。课题重点研究但不限于以下方面：</w:t>
      </w:r>
    </w:p>
    <w:p w14:paraId="62DAA0F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  1.全面剖析“专业+标准化”融合式人才培养赋能现代化产业体系高质量发展的作用机制，厘清人才素养提升与技术创新转化、产业规范升级、国际规则主导力增强之间的内在关联。</w:t>
      </w:r>
    </w:p>
    <w:p w14:paraId="60EB28C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  2.分析上海“专业+标准化”融合式人才培养的现状与瓶颈，比较研究发达国家在工程教育、职业培训等领域融合标准化教育的先进理念与成熟做法。</w:t>
      </w:r>
    </w:p>
    <w:p w14:paraId="4C847E4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  3.结合上海三大先导产业及重点优势产业特点，针对不同教育层次，明确“专业+标准化”融合式人才的知识、能力、素养目标，构建相应培养模式。</w:t>
      </w:r>
    </w:p>
    <w:p w14:paraId="58446C8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  4.探索可复制、可推广的融合育人试点机制，提出“专业+标准化”融合式人才培养赋能现代化产业体系高质量发展的对策建议。</w:t>
      </w:r>
    </w:p>
    <w:p w14:paraId="6883691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w:t>
      </w:r>
      <w:r>
        <w:rPr>
          <w:rStyle w:val="5"/>
          <w:rFonts w:hint="eastAsia" w:ascii="宋体" w:hAnsi="宋体" w:eastAsia="宋体" w:cs="宋体"/>
          <w:i w:val="0"/>
          <w:iCs w:val="0"/>
          <w:caps w:val="0"/>
          <w:color w:val="000000"/>
          <w:spacing w:val="0"/>
          <w:sz w:val="24"/>
          <w:szCs w:val="24"/>
          <w:shd w:val="clear" w:fill="FEFEFE"/>
        </w:rPr>
        <w:t>七、上海地产优质食用农产品跨部门全链条监管追溯机制研究</w:t>
      </w:r>
    </w:p>
    <w:p w14:paraId="0E2BC46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2025年3月，中共中央办公厅、国务院办公厅印发《关于进一步强化食品安全全链条监管的意见》，明确提出完善食用农产品协同监管，加强产地准出与市场准入的有效衔接。上海作为超大型国际消费中心城市，地产优质农产品的有效供给对于服务保障市民食品安全和行业发展的提质增效具有重要意义，市委市政府高度重视地产食用农产品“从田头到餐桌”的全链条安全监管工作。2026年1月2日，市委主要领导在市农业农村委、市市场监管局等五部门联合上报的“关于落实市领导对农产品冷链体系建设有关批示情况的汇报”上作重要批示。</w:t>
      </w:r>
    </w:p>
    <w:p w14:paraId="42F095B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当前，本市地产食用农产品管理涉及市农业农村、市场监管、商务、交通运输等多个部门，包括生产、贮存、冷链运输、终端销售等多个关键环节。早在2015年，本市建立发布了食品安全信息追溯机制，涉及食用农产品的信息化管理平台有食品安全信息追溯平台、“神农口袋”、市肉菜追溯系统等。相关数据一定程度存在要素不统一、录入不及时、交互不顺畅和运用不全面等问题。同时，现有数据归集主要为企业端的生产销售的主体和产品信息，未整合全链条部门监管和市场综合运行监测分析等功能。</w:t>
      </w:r>
    </w:p>
    <w:p w14:paraId="3959EBD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本课题将从我市现有涉及地产食用农产品的相关信息汇集的现状实际着手，分析调研地产食用农产品的生产、市场销售主体，对高附加值、附具包装上市销售品种的冷链运输、安全贮存等重点环节进行剖析，参考学习国内国际相关先进做法。找准裉节、分析成因，提出实现本市地产农产品跨部门全链条监管追溯的路径方法，服务安全发展、促进消费增能，推进长三角食用农产品生产销售行业的一体化发展。课题重点研究但不限于以下方面：</w:t>
      </w:r>
    </w:p>
    <w:p w14:paraId="76EAB47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  1.全面梳理上海地产优质农产品质量安全全链条监管追溯的现状、部门监管和市场主体数据基础以及信息化治理短板问题。</w:t>
      </w:r>
    </w:p>
    <w:p w14:paraId="46719B7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  2.深入分析强化农产品质量安全全链条监管的机制设计，对“申农码”“食安码”肉类产品检验检疫电子化等相关信息整合，以及优化完善市民终端扫码便捷查询等的可行性研究。</w:t>
      </w:r>
    </w:p>
    <w:p w14:paraId="3D485B5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  3.研究借鉴国内“浙食链”以及欧美发达国家在食用农产品全链条监管追溯的先进经验，及其赋能产品品牌发展和政府管理保障方面的治理经验。</w:t>
      </w:r>
    </w:p>
    <w:p w14:paraId="7B97A6A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EFEFE"/>
        </w:rPr>
        <w:t>  4.结合实际提出适应本市地产食用农产品跨部门全链条监管追溯的路径方法，服务市民可感可及，鼓励支持长三角等供沪优质农产品的体系对接等方面的对策建议。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5433E"/>
    <w:rsid w:val="0C870D82"/>
    <w:rsid w:val="1B3A3A66"/>
    <w:rsid w:val="26342C6B"/>
    <w:rsid w:val="32800C67"/>
    <w:rsid w:val="32876C8A"/>
    <w:rsid w:val="3840184C"/>
    <w:rsid w:val="387C7014"/>
    <w:rsid w:val="47AB00B2"/>
    <w:rsid w:val="51605D4F"/>
    <w:rsid w:val="7B38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3331</Words>
  <Characters>3404</Characters>
  <Lines>0</Lines>
  <Paragraphs>0</Paragraphs>
  <TotalTime>10</TotalTime>
  <ScaleCrop>false</ScaleCrop>
  <LinksUpToDate>false</LinksUpToDate>
  <CharactersWithSpaces>3405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2026-03-19T01:24:00Z</dcterms:created>
  <dc:creator>Lenovo</dc:creator>
  <cp:lastModifiedBy>yc</cp:lastModifiedBy>
  <dcterms:modified xsi:type="dcterms:W3CDTF">2026-03-24T05:55:50Z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eyJoZGlkIjoiMjEyM2Q4NDM3NjdhOWExMmM3MGVmYWNhMDY5YThkOGIiLCJ1c2VySWQiOiIxMzQzOTE4OTI3In0=</vt:lpwstr>
  </property>
  <property fmtid="{D5CDD505-2E9C-101B-9397-08002B2CF9AE}" pid="4" name="ICV">
    <vt:lpwstr>32FF3B5E694A40E4AB71CE69A975F317_13</vt:lpwstr>
  </property>
</Properties>
</file>