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49DDE0">
      <w:pPr>
        <w:adjustRightInd w:val="0"/>
        <w:snapToGrid w:val="0"/>
        <w:spacing w:line="360" w:lineRule="auto"/>
        <w:jc w:val="center"/>
        <w:rPr>
          <w:rFonts w:ascii="黑体" w:hAnsi="宋体" w:eastAsia="黑体" w:cs="宋体"/>
          <w:sz w:val="36"/>
          <w:szCs w:val="36"/>
        </w:rPr>
      </w:pPr>
      <w:r>
        <w:rPr>
          <w:rFonts w:ascii="黑体" w:hAnsi="宋体" w:eastAsia="黑体" w:cs="宋体"/>
          <w:sz w:val="36"/>
          <w:szCs w:val="36"/>
        </w:rPr>
        <w:t>上海对外经贸大学松江</w:t>
      </w:r>
      <w:r>
        <w:rPr>
          <w:rFonts w:hint="eastAsia" w:ascii="黑体" w:hAnsi="宋体" w:eastAsia="黑体" w:cs="宋体"/>
          <w:sz w:val="36"/>
          <w:szCs w:val="36"/>
        </w:rPr>
        <w:t>学生</w:t>
      </w:r>
      <w:r>
        <w:rPr>
          <w:rFonts w:ascii="黑体" w:hAnsi="宋体" w:eastAsia="黑体" w:cs="宋体"/>
          <w:sz w:val="36"/>
          <w:szCs w:val="36"/>
        </w:rPr>
        <w:t>社区</w:t>
      </w:r>
      <w:r>
        <w:rPr>
          <w:rFonts w:hint="eastAsia" w:ascii="黑体" w:hAnsi="宋体" w:eastAsia="黑体" w:cs="宋体"/>
          <w:sz w:val="36"/>
          <w:szCs w:val="36"/>
        </w:rPr>
        <w:t>引进第三方</w:t>
      </w:r>
    </w:p>
    <w:p w14:paraId="6DF20E73">
      <w:pPr>
        <w:adjustRightInd w:val="0"/>
        <w:snapToGrid w:val="0"/>
        <w:spacing w:line="360" w:lineRule="auto"/>
        <w:jc w:val="center"/>
        <w:rPr>
          <w:rFonts w:ascii="黑体" w:hAnsi="宋体" w:eastAsia="黑体" w:cs="宋体"/>
          <w:sz w:val="36"/>
          <w:szCs w:val="36"/>
        </w:rPr>
      </w:pPr>
      <w:r>
        <w:rPr>
          <w:rFonts w:hint="eastAsia" w:ascii="黑体" w:hAnsi="宋体" w:eastAsia="黑体" w:cs="宋体"/>
          <w:sz w:val="36"/>
          <w:szCs w:val="36"/>
        </w:rPr>
        <w:t>电动自行车充电桩</w:t>
      </w:r>
      <w:r>
        <w:rPr>
          <w:rFonts w:ascii="黑体" w:hAnsi="宋体" w:eastAsia="黑体" w:cs="宋体"/>
          <w:sz w:val="36"/>
          <w:szCs w:val="36"/>
        </w:rPr>
        <w:t>服务的磋商需求</w:t>
      </w:r>
    </w:p>
    <w:p w14:paraId="1937288F"/>
    <w:p w14:paraId="748FD4CC">
      <w:pPr>
        <w:adjustRightInd w:val="0"/>
        <w:snapToGrid w:val="0"/>
        <w:spacing w:after="120" w:afterLines="50" w:line="440" w:lineRule="exact"/>
        <w:jc w:val="center"/>
        <w:rPr>
          <w:rFonts w:ascii="黑体" w:hAnsi="宋体" w:eastAsia="黑体" w:cs="宋体"/>
          <w:sz w:val="36"/>
          <w:szCs w:val="36"/>
        </w:rPr>
      </w:pPr>
    </w:p>
    <w:p w14:paraId="3ACF9D30">
      <w:pPr>
        <w:adjustRightInd w:val="0"/>
        <w:snapToGrid w:val="0"/>
        <w:spacing w:after="120" w:afterLines="50" w:line="440" w:lineRule="exact"/>
        <w:jc w:val="center"/>
        <w:rPr>
          <w:rFonts w:ascii="黑体" w:hAnsi="宋体" w:eastAsia="黑体" w:cs="宋体"/>
          <w:sz w:val="36"/>
          <w:szCs w:val="36"/>
        </w:rPr>
      </w:pPr>
      <w:r>
        <w:rPr>
          <w:rFonts w:ascii="黑体" w:hAnsi="宋体" w:eastAsia="黑体" w:cs="宋体"/>
          <w:sz w:val="36"/>
          <w:szCs w:val="36"/>
        </w:rPr>
        <w:t>第一部分</w:t>
      </w:r>
      <w:r>
        <w:rPr>
          <w:rFonts w:hint="eastAsia" w:ascii="黑体" w:hAnsi="宋体" w:eastAsia="黑体" w:cs="宋体"/>
          <w:sz w:val="36"/>
          <w:szCs w:val="36"/>
        </w:rPr>
        <w:t xml:space="preserve"> </w:t>
      </w:r>
      <w:r>
        <w:rPr>
          <w:rFonts w:ascii="黑体" w:hAnsi="宋体" w:eastAsia="黑体" w:cs="宋体"/>
          <w:sz w:val="36"/>
          <w:szCs w:val="36"/>
        </w:rPr>
        <w:t xml:space="preserve"> 磋商公告</w:t>
      </w:r>
    </w:p>
    <w:p w14:paraId="0722E86C">
      <w:pPr>
        <w:spacing w:after="120" w:afterLines="50" w:line="400" w:lineRule="exact"/>
        <w:ind w:firstLine="560" w:firstLineChars="200"/>
        <w:rPr>
          <w:rFonts w:ascii="仿宋" w:hAnsi="仿宋" w:eastAsia="仿宋"/>
          <w:sz w:val="28"/>
          <w:szCs w:val="28"/>
        </w:rPr>
      </w:pPr>
      <w:r>
        <w:rPr>
          <w:rFonts w:ascii="仿宋" w:hAnsi="仿宋" w:eastAsia="仿宋"/>
          <w:sz w:val="28"/>
          <w:szCs w:val="28"/>
        </w:rPr>
        <w:t>一、项目基本情况</w:t>
      </w:r>
    </w:p>
    <w:p w14:paraId="7F641816">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1、项目名称：上海对外经贸大学松江学生社区引进第三方电动自行车充电桩服务。</w:t>
      </w:r>
    </w:p>
    <w:p w14:paraId="7F5FFA32">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2、项目</w:t>
      </w:r>
      <w:r>
        <w:rPr>
          <w:rFonts w:ascii="仿宋" w:hAnsi="仿宋" w:eastAsia="仿宋"/>
          <w:sz w:val="28"/>
          <w:szCs w:val="28"/>
        </w:rPr>
        <w:t>内容</w:t>
      </w:r>
      <w:r>
        <w:rPr>
          <w:rFonts w:hint="eastAsia" w:ascii="仿宋" w:hAnsi="仿宋" w:eastAsia="仿宋"/>
          <w:sz w:val="28"/>
          <w:szCs w:val="28"/>
        </w:rPr>
        <w:t>：本次磋商确定的第三方</w:t>
      </w:r>
      <w:r>
        <w:rPr>
          <w:rFonts w:ascii="仿宋" w:hAnsi="仿宋" w:eastAsia="仿宋"/>
          <w:sz w:val="28"/>
          <w:szCs w:val="28"/>
        </w:rPr>
        <w:t>服务单位</w:t>
      </w:r>
      <w:r>
        <w:rPr>
          <w:rFonts w:hint="eastAsia" w:ascii="仿宋" w:hAnsi="仿宋" w:eastAsia="仿宋"/>
          <w:sz w:val="28"/>
          <w:szCs w:val="28"/>
        </w:rPr>
        <w:t>，主要从事上海对外经贸大学松江学生社区电动自行车充电服务及运营。</w:t>
      </w:r>
    </w:p>
    <w:p w14:paraId="47191103">
      <w:pPr>
        <w:spacing w:after="120" w:afterLines="50" w:line="400" w:lineRule="exact"/>
        <w:ind w:firstLine="560" w:firstLineChars="200"/>
        <w:rPr>
          <w:rFonts w:ascii="仿宋" w:hAnsi="仿宋" w:eastAsia="仿宋"/>
          <w:sz w:val="28"/>
          <w:szCs w:val="28"/>
        </w:rPr>
      </w:pPr>
      <w:r>
        <w:rPr>
          <w:rFonts w:ascii="仿宋" w:hAnsi="仿宋" w:eastAsia="仿宋" w:cs="宋体"/>
          <w:sz w:val="28"/>
          <w:szCs w:val="28"/>
        </w:rPr>
        <w:t>3</w:t>
      </w:r>
      <w:r>
        <w:rPr>
          <w:rFonts w:hint="eastAsia" w:ascii="仿宋" w:hAnsi="仿宋" w:eastAsia="仿宋" w:cs="宋体"/>
          <w:sz w:val="28"/>
          <w:szCs w:val="28"/>
        </w:rPr>
        <w:t>、</w:t>
      </w:r>
      <w:r>
        <w:rPr>
          <w:rFonts w:hint="eastAsia" w:ascii="仿宋" w:hAnsi="仿宋" w:eastAsia="仿宋"/>
          <w:sz w:val="28"/>
          <w:szCs w:val="28"/>
        </w:rPr>
        <w:t>项目发包方：上海贸大企业管理有限公司。</w:t>
      </w:r>
    </w:p>
    <w:p w14:paraId="051746F1">
      <w:pPr>
        <w:spacing w:after="120" w:afterLines="50" w:line="400" w:lineRule="exact"/>
        <w:jc w:val="left"/>
        <w:rPr>
          <w:rFonts w:ascii="仿宋" w:hAnsi="仿宋" w:eastAsia="仿宋"/>
          <w:sz w:val="28"/>
          <w:szCs w:val="28"/>
        </w:rPr>
      </w:pPr>
      <w:r>
        <w:rPr>
          <w:rFonts w:hint="eastAsia" w:ascii="仿宋" w:hAnsi="仿宋" w:eastAsia="仿宋"/>
          <w:sz w:val="28"/>
          <w:szCs w:val="28"/>
        </w:rPr>
        <w:t xml:space="preserve">    二、服务商资格条件</w:t>
      </w:r>
    </w:p>
    <w:p w14:paraId="51D1B43F">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1、符合《中华人民共和国政府采购法》第二十二条所规定的条件。</w:t>
      </w:r>
    </w:p>
    <w:p w14:paraId="48283E73">
      <w:pPr>
        <w:spacing w:after="120" w:afterLines="50" w:line="40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、具有独立企业法人资格及相应的经营范围，具有电动自行车充电服务项目业绩。</w:t>
      </w:r>
    </w:p>
    <w:p w14:paraId="50065B10">
      <w:pPr>
        <w:spacing w:after="120" w:afterLines="50" w:line="400" w:lineRule="exact"/>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、未被列入“信用中国”网站（</w:t>
      </w:r>
      <w:r>
        <w:fldChar w:fldCharType="begin"/>
      </w:r>
      <w:r>
        <w:instrText xml:space="preserve"> HYPERLINK "http://www.creditchina.gov.cn" </w:instrText>
      </w:r>
      <w:r>
        <w:fldChar w:fldCharType="separate"/>
      </w:r>
      <w:r>
        <w:rPr>
          <w:rFonts w:hint="eastAsia" w:ascii="仿宋" w:hAnsi="仿宋" w:eastAsia="仿宋"/>
          <w:sz w:val="28"/>
          <w:szCs w:val="28"/>
        </w:rPr>
        <w:t>www.creditchina.gov.cn</w:t>
      </w:r>
      <w:r>
        <w:rPr>
          <w:rFonts w:hint="eastAsia" w:ascii="仿宋" w:hAnsi="仿宋" w:eastAsia="仿宋"/>
          <w:sz w:val="28"/>
          <w:szCs w:val="28"/>
        </w:rPr>
        <w:fldChar w:fldCharType="end"/>
      </w:r>
      <w:r>
        <w:rPr>
          <w:rFonts w:hint="eastAsia" w:ascii="仿宋" w:hAnsi="仿宋" w:eastAsia="仿宋"/>
          <w:sz w:val="28"/>
          <w:szCs w:val="28"/>
        </w:rPr>
        <w:t>）失信被执行人、重大税收违法案件当事人名单、政府采购严重违法失信行为记录名单和中国政府采购网（</w:t>
      </w:r>
      <w:r>
        <w:fldChar w:fldCharType="begin"/>
      </w:r>
      <w:r>
        <w:instrText xml:space="preserve"> HYPERLINK "http://www.ccgp.gov.cn" </w:instrText>
      </w:r>
      <w:r>
        <w:fldChar w:fldCharType="separate"/>
      </w:r>
      <w:r>
        <w:rPr>
          <w:rFonts w:hint="eastAsia" w:ascii="仿宋" w:hAnsi="仿宋" w:eastAsia="仿宋"/>
          <w:sz w:val="28"/>
          <w:szCs w:val="28"/>
        </w:rPr>
        <w:t>www.ccgp.gov.cn</w:t>
      </w:r>
      <w:r>
        <w:rPr>
          <w:rFonts w:hint="eastAsia" w:ascii="仿宋" w:hAnsi="仿宋" w:eastAsia="仿宋"/>
          <w:sz w:val="28"/>
          <w:szCs w:val="28"/>
        </w:rPr>
        <w:fldChar w:fldCharType="end"/>
      </w:r>
      <w:r>
        <w:rPr>
          <w:rFonts w:hint="eastAsia" w:ascii="仿宋" w:hAnsi="仿宋" w:eastAsia="仿宋"/>
          <w:sz w:val="28"/>
          <w:szCs w:val="28"/>
        </w:rPr>
        <w:t>）政府采购严重违法失信行为记录名单的供应商。</w:t>
      </w:r>
    </w:p>
    <w:p w14:paraId="050D0D41">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4、须提供电动自行车充电桩生产厂家授权证明（生产厂家直接参与的除外）。</w:t>
      </w:r>
    </w:p>
    <w:p w14:paraId="45C70B48">
      <w:pPr>
        <w:spacing w:after="120" w:afterLines="50" w:line="400" w:lineRule="exact"/>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、单位负责人为同一人或者存在直接控股、管理关系的不同投标人，不得参加同一合同项下的政府采购活动。</w:t>
      </w:r>
    </w:p>
    <w:p w14:paraId="0AA2AE45">
      <w:pPr>
        <w:tabs>
          <w:tab w:val="left" w:pos="4605"/>
        </w:tabs>
        <w:spacing w:after="120" w:afterLines="50" w:line="400" w:lineRule="exact"/>
        <w:ind w:firstLine="560" w:firstLineChars="200"/>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、本次采购不接受联合体。</w:t>
      </w:r>
      <w:r>
        <w:rPr>
          <w:rFonts w:ascii="仿宋" w:hAnsi="仿宋" w:eastAsia="仿宋"/>
          <w:sz w:val="28"/>
          <w:szCs w:val="28"/>
        </w:rPr>
        <w:tab/>
      </w:r>
    </w:p>
    <w:p w14:paraId="502DFBFC">
      <w:pPr>
        <w:spacing w:after="120" w:afterLines="50" w:line="400" w:lineRule="exact"/>
        <w:ind w:firstLine="562" w:firstLineChars="200"/>
        <w:rPr>
          <w:rFonts w:ascii="仿宋" w:hAnsi="仿宋" w:eastAsia="仿宋"/>
          <w:b/>
          <w:sz w:val="28"/>
          <w:szCs w:val="28"/>
        </w:rPr>
      </w:pPr>
      <w:r>
        <w:rPr>
          <w:rFonts w:hint="eastAsia" w:ascii="仿宋" w:hAnsi="仿宋" w:eastAsia="仿宋"/>
          <w:b/>
          <w:sz w:val="28"/>
          <w:szCs w:val="28"/>
        </w:rPr>
        <w:t>三、报名方法</w:t>
      </w:r>
      <w:r>
        <w:rPr>
          <w:rFonts w:ascii="仿宋" w:hAnsi="仿宋" w:eastAsia="仿宋"/>
          <w:b/>
          <w:sz w:val="28"/>
          <w:szCs w:val="28"/>
        </w:rPr>
        <w:tab/>
      </w:r>
    </w:p>
    <w:p w14:paraId="55568D72">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凡愿参加磋商的服务商请于202</w:t>
      </w:r>
      <w:r>
        <w:rPr>
          <w:rFonts w:ascii="仿宋" w:hAnsi="仿宋" w:eastAsia="仿宋"/>
          <w:sz w:val="28"/>
          <w:szCs w:val="28"/>
        </w:rPr>
        <w:t>5</w:t>
      </w:r>
      <w:r>
        <w:rPr>
          <w:rFonts w:hint="eastAsia" w:ascii="仿宋" w:hAnsi="仿宋" w:eastAsia="仿宋"/>
          <w:sz w:val="28"/>
          <w:szCs w:val="28"/>
        </w:rPr>
        <w:t>年</w:t>
      </w:r>
      <w:r>
        <w:rPr>
          <w:rFonts w:ascii="仿宋" w:hAnsi="仿宋" w:eastAsia="仿宋"/>
          <w:sz w:val="28"/>
          <w:szCs w:val="28"/>
        </w:rPr>
        <w:t>6</w:t>
      </w:r>
      <w:r>
        <w:rPr>
          <w:rFonts w:hint="eastAsia" w:ascii="仿宋" w:hAnsi="仿宋" w:eastAsia="仿宋"/>
          <w:sz w:val="28"/>
          <w:szCs w:val="28"/>
        </w:rPr>
        <w:t>月</w:t>
      </w:r>
      <w:r>
        <w:rPr>
          <w:rFonts w:ascii="仿宋" w:hAnsi="仿宋" w:eastAsia="仿宋"/>
          <w:sz w:val="28"/>
          <w:szCs w:val="28"/>
        </w:rPr>
        <w:t>19</w:t>
      </w:r>
      <w:r>
        <w:rPr>
          <w:rFonts w:hint="eastAsia" w:ascii="仿宋" w:hAnsi="仿宋" w:eastAsia="仿宋"/>
          <w:sz w:val="28"/>
          <w:szCs w:val="28"/>
        </w:rPr>
        <w:t>日前填写《上海对外经贸大学松江学生社区引进第三方电动自行车充电桩服务的公开磋商项目报名登记表》（附件1）</w:t>
      </w:r>
      <w:bookmarkStart w:id="0" w:name="_GoBack"/>
      <w:bookmarkEnd w:id="0"/>
      <w:r>
        <w:rPr>
          <w:rFonts w:hint="eastAsia" w:ascii="仿宋" w:hAnsi="仿宋" w:eastAsia="仿宋"/>
          <w:sz w:val="28"/>
          <w:szCs w:val="28"/>
        </w:rPr>
        <w:t>，通过Email把报名登记表发送至邮箱</w:t>
      </w:r>
      <w:r>
        <w:fldChar w:fldCharType="begin"/>
      </w:r>
      <w:r>
        <w:instrText xml:space="preserve"> HYPERLINK "mailto:wangbin_2004@suibe.edu.cn" </w:instrText>
      </w:r>
      <w:r>
        <w:fldChar w:fldCharType="separate"/>
      </w:r>
      <w:r>
        <w:rPr>
          <w:rStyle w:val="9"/>
          <w:rFonts w:hint="eastAsia"/>
          <w:color w:val="333333"/>
          <w:sz w:val="28"/>
          <w:szCs w:val="28"/>
        </w:rPr>
        <w:t>wangbin_2004@suibe.edu.cn</w:t>
      </w:r>
      <w:r>
        <w:rPr>
          <w:rStyle w:val="9"/>
          <w:rFonts w:hint="eastAsia"/>
          <w:color w:val="333333"/>
          <w:sz w:val="28"/>
          <w:szCs w:val="28"/>
        </w:rPr>
        <w:fldChar w:fldCharType="end"/>
      </w:r>
      <w:r>
        <w:rPr>
          <w:rFonts w:hint="eastAsia" w:ascii="仿宋" w:hAnsi="仿宋" w:eastAsia="仿宋"/>
          <w:sz w:val="28"/>
          <w:szCs w:val="28"/>
        </w:rPr>
        <w:t>，并自行下载公开磋商项目文件（附件2）。</w:t>
      </w:r>
    </w:p>
    <w:p w14:paraId="60A5315A">
      <w:pPr>
        <w:spacing w:after="120" w:afterLines="50" w:line="400" w:lineRule="exact"/>
        <w:ind w:firstLine="562" w:firstLineChars="200"/>
        <w:rPr>
          <w:rFonts w:ascii="仿宋" w:hAnsi="仿宋" w:eastAsia="仿宋"/>
          <w:b/>
          <w:sz w:val="28"/>
          <w:szCs w:val="28"/>
        </w:rPr>
      </w:pPr>
      <w:r>
        <w:rPr>
          <w:rFonts w:hint="eastAsia" w:ascii="仿宋" w:hAnsi="仿宋" w:eastAsia="仿宋"/>
          <w:b/>
          <w:sz w:val="28"/>
          <w:szCs w:val="28"/>
        </w:rPr>
        <w:t>四、勘察</w:t>
      </w:r>
      <w:r>
        <w:rPr>
          <w:rFonts w:ascii="仿宋" w:hAnsi="仿宋" w:eastAsia="仿宋"/>
          <w:b/>
          <w:sz w:val="28"/>
          <w:szCs w:val="28"/>
        </w:rPr>
        <w:t>、</w:t>
      </w:r>
      <w:r>
        <w:rPr>
          <w:rFonts w:hint="eastAsia" w:ascii="仿宋" w:hAnsi="仿宋" w:eastAsia="仿宋"/>
          <w:b/>
          <w:sz w:val="28"/>
          <w:szCs w:val="28"/>
        </w:rPr>
        <w:t>磋商时间及</w:t>
      </w:r>
      <w:r>
        <w:rPr>
          <w:rFonts w:ascii="仿宋" w:hAnsi="仿宋" w:eastAsia="仿宋"/>
          <w:b/>
          <w:sz w:val="28"/>
          <w:szCs w:val="28"/>
        </w:rPr>
        <w:t>联系方式</w:t>
      </w:r>
    </w:p>
    <w:p w14:paraId="11A1F0FB">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1、现场</w:t>
      </w:r>
      <w:r>
        <w:rPr>
          <w:rFonts w:ascii="仿宋" w:hAnsi="仿宋" w:eastAsia="仿宋"/>
          <w:sz w:val="28"/>
          <w:szCs w:val="28"/>
        </w:rPr>
        <w:t>勘察时间</w:t>
      </w:r>
      <w:r>
        <w:rPr>
          <w:rFonts w:hint="eastAsia" w:ascii="仿宋" w:hAnsi="仿宋" w:eastAsia="仿宋"/>
          <w:sz w:val="28"/>
          <w:szCs w:val="28"/>
        </w:rPr>
        <w:t>：</w:t>
      </w:r>
      <w:r>
        <w:rPr>
          <w:rFonts w:ascii="仿宋" w:hAnsi="仿宋" w:eastAsia="仿宋"/>
          <w:sz w:val="28"/>
          <w:szCs w:val="28"/>
        </w:rPr>
        <w:t>2025</w:t>
      </w:r>
      <w:r>
        <w:rPr>
          <w:rFonts w:hint="eastAsia" w:ascii="仿宋" w:hAnsi="仿宋" w:eastAsia="仿宋"/>
          <w:sz w:val="28"/>
          <w:szCs w:val="28"/>
        </w:rPr>
        <w:t>年</w:t>
      </w:r>
      <w:r>
        <w:rPr>
          <w:rFonts w:ascii="仿宋" w:hAnsi="仿宋" w:eastAsia="仿宋"/>
          <w:sz w:val="28"/>
          <w:szCs w:val="28"/>
        </w:rPr>
        <w:t>6</w:t>
      </w:r>
      <w:r>
        <w:rPr>
          <w:rFonts w:hint="eastAsia" w:ascii="仿宋" w:hAnsi="仿宋" w:eastAsia="仿宋"/>
          <w:sz w:val="28"/>
          <w:szCs w:val="28"/>
        </w:rPr>
        <w:t>月</w:t>
      </w:r>
      <w:r>
        <w:rPr>
          <w:rFonts w:ascii="仿宋" w:hAnsi="仿宋" w:eastAsia="仿宋"/>
          <w:sz w:val="28"/>
          <w:szCs w:val="28"/>
        </w:rPr>
        <w:t>20</w:t>
      </w:r>
      <w:r>
        <w:rPr>
          <w:rFonts w:hint="eastAsia" w:ascii="仿宋" w:hAnsi="仿宋" w:eastAsia="仿宋"/>
          <w:sz w:val="28"/>
          <w:szCs w:val="28"/>
        </w:rPr>
        <w:t>日上午9:3</w:t>
      </w:r>
      <w:r>
        <w:rPr>
          <w:rFonts w:ascii="仿宋" w:hAnsi="仿宋" w:eastAsia="仿宋"/>
          <w:sz w:val="28"/>
          <w:szCs w:val="28"/>
        </w:rPr>
        <w:t>0-11</w:t>
      </w:r>
      <w:r>
        <w:rPr>
          <w:rFonts w:hint="eastAsia" w:ascii="仿宋" w:hAnsi="仿宋" w:eastAsia="仿宋"/>
          <w:sz w:val="28"/>
          <w:szCs w:val="28"/>
        </w:rPr>
        <w:t>:</w:t>
      </w:r>
      <w:r>
        <w:rPr>
          <w:rFonts w:ascii="仿宋" w:hAnsi="仿宋" w:eastAsia="仿宋"/>
          <w:sz w:val="28"/>
          <w:szCs w:val="28"/>
        </w:rPr>
        <w:t>00</w:t>
      </w:r>
      <w:r>
        <w:rPr>
          <w:rFonts w:hint="eastAsia" w:ascii="仿宋" w:hAnsi="仿宋" w:eastAsia="仿宋"/>
          <w:sz w:val="28"/>
          <w:szCs w:val="28"/>
        </w:rPr>
        <w:t>，须提前一天联系预约。</w:t>
      </w:r>
    </w:p>
    <w:p w14:paraId="52602BDD">
      <w:pPr>
        <w:spacing w:after="120" w:afterLines="50" w:line="40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、磋商时间：磋商</w:t>
      </w:r>
      <w:r>
        <w:rPr>
          <w:rFonts w:ascii="仿宋" w:hAnsi="仿宋" w:eastAsia="仿宋"/>
          <w:sz w:val="28"/>
          <w:szCs w:val="28"/>
        </w:rPr>
        <w:t>人员请于2025</w:t>
      </w:r>
      <w:r>
        <w:rPr>
          <w:rFonts w:hint="eastAsia" w:ascii="仿宋" w:hAnsi="仿宋" w:eastAsia="仿宋"/>
          <w:sz w:val="28"/>
          <w:szCs w:val="28"/>
        </w:rPr>
        <w:t>年</w:t>
      </w:r>
      <w:r>
        <w:rPr>
          <w:rFonts w:ascii="仿宋" w:hAnsi="仿宋" w:eastAsia="仿宋"/>
          <w:sz w:val="28"/>
          <w:szCs w:val="28"/>
        </w:rPr>
        <w:t>6</w:t>
      </w:r>
      <w:r>
        <w:rPr>
          <w:rFonts w:hint="eastAsia" w:ascii="仿宋" w:hAnsi="仿宋" w:eastAsia="仿宋"/>
          <w:sz w:val="28"/>
          <w:szCs w:val="28"/>
        </w:rPr>
        <w:t>月</w:t>
      </w:r>
      <w:r>
        <w:rPr>
          <w:rFonts w:ascii="仿宋" w:hAnsi="仿宋" w:eastAsia="仿宋"/>
          <w:sz w:val="28"/>
          <w:szCs w:val="28"/>
        </w:rPr>
        <w:t>27</w:t>
      </w:r>
      <w:r>
        <w:rPr>
          <w:rFonts w:hint="eastAsia" w:ascii="仿宋" w:hAnsi="仿宋" w:eastAsia="仿宋"/>
          <w:sz w:val="28"/>
          <w:szCs w:val="28"/>
        </w:rPr>
        <w:t>日下午</w:t>
      </w: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00</w:t>
      </w:r>
      <w:r>
        <w:rPr>
          <w:rFonts w:hint="eastAsia" w:ascii="仿宋" w:hAnsi="仿宋" w:eastAsia="仿宋"/>
          <w:sz w:val="28"/>
          <w:szCs w:val="28"/>
        </w:rPr>
        <w:t>，携密封磋商</w:t>
      </w:r>
      <w:r>
        <w:rPr>
          <w:rFonts w:ascii="仿宋" w:hAnsi="仿宋" w:eastAsia="仿宋"/>
          <w:sz w:val="28"/>
          <w:szCs w:val="28"/>
        </w:rPr>
        <w:t>文件</w:t>
      </w:r>
      <w:r>
        <w:rPr>
          <w:rFonts w:hint="eastAsia" w:ascii="仿宋" w:hAnsi="仿宋" w:eastAsia="仿宋"/>
          <w:sz w:val="28"/>
          <w:szCs w:val="28"/>
        </w:rPr>
        <w:t>至上海市松江区文汇路600弄85号楼会议室。</w:t>
      </w:r>
    </w:p>
    <w:p w14:paraId="1D646A94">
      <w:pPr>
        <w:spacing w:after="120" w:afterLines="50" w:line="400" w:lineRule="exact"/>
        <w:ind w:firstLine="560" w:firstLineChars="200"/>
        <w:rPr>
          <w:rFonts w:ascii="仿宋" w:hAnsi="仿宋" w:eastAsia="仿宋"/>
          <w:sz w:val="28"/>
          <w:szCs w:val="28"/>
        </w:rPr>
      </w:pPr>
      <w:r>
        <w:rPr>
          <w:rFonts w:ascii="仿宋" w:hAnsi="仿宋" w:eastAsia="仿宋"/>
          <w:sz w:val="28"/>
          <w:szCs w:val="28"/>
        </w:rPr>
        <w:t>3、联系方式：</w:t>
      </w:r>
    </w:p>
    <w:p w14:paraId="64DA9558">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 xml:space="preserve">联系人：王老师 </w:t>
      </w:r>
      <w:r>
        <w:rPr>
          <w:rFonts w:ascii="仿宋" w:hAnsi="仿宋" w:eastAsia="仿宋"/>
          <w:sz w:val="28"/>
          <w:szCs w:val="28"/>
        </w:rPr>
        <w:t xml:space="preserve">   </w:t>
      </w:r>
      <w:r>
        <w:rPr>
          <w:rFonts w:hint="eastAsia" w:ascii="仿宋" w:hAnsi="仿宋" w:eastAsia="仿宋"/>
          <w:sz w:val="28"/>
          <w:szCs w:val="28"/>
        </w:rPr>
        <w:t>电  话：</w:t>
      </w:r>
      <w:r>
        <w:rPr>
          <w:rFonts w:ascii="仿宋" w:hAnsi="仿宋" w:eastAsia="仿宋"/>
          <w:sz w:val="28"/>
          <w:szCs w:val="28"/>
        </w:rPr>
        <w:t>13801827443</w:t>
      </w:r>
    </w:p>
    <w:p w14:paraId="31B76D98">
      <w:pPr>
        <w:spacing w:after="120" w:afterLines="50" w:line="400" w:lineRule="exact"/>
        <w:ind w:firstLine="560" w:firstLineChars="200"/>
        <w:rPr>
          <w:sz w:val="28"/>
          <w:szCs w:val="28"/>
        </w:rPr>
      </w:pPr>
      <w:r>
        <w:rPr>
          <w:rFonts w:hint="eastAsia" w:ascii="仿宋" w:hAnsi="仿宋" w:eastAsia="仿宋"/>
          <w:sz w:val="28"/>
          <w:szCs w:val="28"/>
        </w:rPr>
        <w:t>邮  箱：</w:t>
      </w:r>
      <w:r>
        <w:fldChar w:fldCharType="begin"/>
      </w:r>
      <w:r>
        <w:instrText xml:space="preserve"> HYPERLINK "mailto:wangbin_2004@suibe.edu.cn" </w:instrText>
      </w:r>
      <w:r>
        <w:fldChar w:fldCharType="separate"/>
      </w:r>
      <w:r>
        <w:rPr>
          <w:rStyle w:val="9"/>
          <w:rFonts w:hint="eastAsia"/>
          <w:color w:val="333333"/>
          <w:sz w:val="28"/>
          <w:szCs w:val="28"/>
        </w:rPr>
        <w:t>wangbin_2004@suibe.edu.cn</w:t>
      </w:r>
      <w:r>
        <w:rPr>
          <w:rStyle w:val="9"/>
          <w:rFonts w:hint="eastAsia"/>
          <w:color w:val="333333"/>
          <w:sz w:val="28"/>
          <w:szCs w:val="28"/>
        </w:rPr>
        <w:fldChar w:fldCharType="end"/>
      </w:r>
    </w:p>
    <w:p w14:paraId="088E6A43">
      <w:pPr>
        <w:spacing w:after="120" w:afterLines="50" w:line="400" w:lineRule="exact"/>
        <w:jc w:val="center"/>
        <w:rPr>
          <w:rFonts w:ascii="仿宋" w:hAnsi="仿宋" w:eastAsia="仿宋"/>
          <w:sz w:val="28"/>
          <w:szCs w:val="28"/>
        </w:rPr>
      </w:pPr>
    </w:p>
    <w:p w14:paraId="5418A491">
      <w:pPr>
        <w:spacing w:after="120" w:afterLines="50" w:line="400" w:lineRule="exact"/>
        <w:jc w:val="center"/>
        <w:rPr>
          <w:rFonts w:ascii="仿宋" w:hAnsi="仿宋" w:eastAsia="仿宋"/>
          <w:sz w:val="28"/>
          <w:szCs w:val="28"/>
        </w:rPr>
      </w:pPr>
    </w:p>
    <w:p w14:paraId="5376B3AD">
      <w:pPr>
        <w:adjustRightInd w:val="0"/>
        <w:snapToGrid w:val="0"/>
        <w:spacing w:after="120" w:afterLines="50" w:line="400" w:lineRule="exact"/>
        <w:jc w:val="center"/>
        <w:rPr>
          <w:rFonts w:ascii="黑体" w:hAnsi="宋体" w:eastAsia="黑体" w:cs="宋体"/>
          <w:sz w:val="36"/>
          <w:szCs w:val="36"/>
        </w:rPr>
      </w:pPr>
      <w:r>
        <w:rPr>
          <w:rFonts w:ascii="黑体" w:hAnsi="宋体" w:eastAsia="黑体" w:cs="宋体"/>
          <w:sz w:val="36"/>
          <w:szCs w:val="36"/>
        </w:rPr>
        <w:t>第二部分</w:t>
      </w:r>
      <w:r>
        <w:rPr>
          <w:rFonts w:hint="eastAsia" w:ascii="黑体" w:hAnsi="宋体" w:eastAsia="黑体" w:cs="宋体"/>
          <w:sz w:val="36"/>
          <w:szCs w:val="36"/>
        </w:rPr>
        <w:t xml:space="preserve"> </w:t>
      </w:r>
      <w:r>
        <w:rPr>
          <w:rFonts w:ascii="黑体" w:hAnsi="宋体" w:eastAsia="黑体" w:cs="宋体"/>
          <w:sz w:val="36"/>
          <w:szCs w:val="36"/>
        </w:rPr>
        <w:t xml:space="preserve"> 服务商须知</w:t>
      </w:r>
    </w:p>
    <w:p w14:paraId="5F14676A">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一、采购项目建设方案和需实现的功能或目标</w:t>
      </w:r>
    </w:p>
    <w:p w14:paraId="4A340B07">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上海对外经贸大学松江学生社区位于松江区文汇路600弄，现有各类学生公寓楼 73栋，住宿学生数约1.3万人，有电动自行车4800余辆，目前有充电桩机位100个，无法满足学生电动自行车充电需要，学生对增加电动充电桩需求比较迫切。本次拟引入第三方服务单位在松江学生社区建设电动自行车充电桩插座不少于230个及其车棚，本项目由中标方全资投入建设和运营。后续如需增加充电插座，经双方协商签订补充协议，不再重新招标。</w:t>
      </w:r>
    </w:p>
    <w:p w14:paraId="2936FC7D">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二、采购项目建设需满足的技术规格、质量、安全、物理特性等要求</w:t>
      </w:r>
    </w:p>
    <w:p w14:paraId="4CE75902">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1、服务企业具有电动自行车充电桩生产厂家授权证明（生产厂家直接参与的除外），并且符合国家充电桩建设和服务的相关规定。</w:t>
      </w:r>
    </w:p>
    <w:p w14:paraId="0D62A603">
      <w:pPr>
        <w:spacing w:after="120" w:afterLines="50" w:line="400" w:lineRule="exact"/>
        <w:ind w:firstLine="560" w:firstLineChars="200"/>
        <w:rPr>
          <w:rFonts w:ascii="仿宋" w:hAnsi="仿宋" w:eastAsia="仿宋"/>
          <w:sz w:val="28"/>
          <w:szCs w:val="28"/>
        </w:rPr>
      </w:pPr>
      <w:r>
        <w:rPr>
          <w:rFonts w:ascii="仿宋" w:hAnsi="仿宋" w:eastAsia="仿宋"/>
          <w:bCs/>
          <w:sz w:val="28"/>
          <w:szCs w:val="28"/>
        </w:rPr>
        <w:t>2、</w:t>
      </w:r>
      <w:r>
        <w:rPr>
          <w:rFonts w:hint="eastAsia" w:ascii="仿宋" w:hAnsi="仿宋" w:eastAsia="仿宋"/>
          <w:bCs/>
          <w:sz w:val="28"/>
          <w:szCs w:val="28"/>
        </w:rPr>
        <w:t>本项目充电桩要求的标准功率为</w:t>
      </w:r>
      <w:r>
        <w:rPr>
          <w:rFonts w:ascii="仿宋" w:hAnsi="仿宋" w:eastAsia="仿宋"/>
          <w:bCs/>
          <w:sz w:val="28"/>
          <w:szCs w:val="28"/>
        </w:rPr>
        <w:t>300W（当用户充电功率≤300W，充电时间无任何缩减，当充电功率大于300W，用户无法充电）。投标人须提供充电标准功率</w:t>
      </w:r>
      <w:r>
        <w:rPr>
          <w:rFonts w:hint="eastAsia" w:ascii="仿宋" w:hAnsi="仿宋" w:eastAsia="仿宋"/>
          <w:bCs/>
          <w:sz w:val="28"/>
          <w:szCs w:val="28"/>
        </w:rPr>
        <w:t>承诺函。</w:t>
      </w:r>
    </w:p>
    <w:p w14:paraId="43672699">
      <w:pPr>
        <w:spacing w:after="120" w:afterLines="50" w:line="400" w:lineRule="exact"/>
        <w:ind w:firstLine="560" w:firstLineChars="200"/>
        <w:rPr>
          <w:rFonts w:ascii="仿宋" w:hAnsi="仿宋" w:eastAsia="仿宋"/>
          <w:bCs/>
          <w:sz w:val="28"/>
          <w:szCs w:val="28"/>
        </w:rPr>
      </w:pPr>
      <w:r>
        <w:rPr>
          <w:rFonts w:hint="eastAsia" w:ascii="仿宋" w:hAnsi="仿宋" w:eastAsia="仿宋"/>
          <w:bCs/>
          <w:sz w:val="28"/>
          <w:szCs w:val="28"/>
        </w:rPr>
        <w:t>3.电动自行车充电桩要求：</w:t>
      </w:r>
    </w:p>
    <w:p w14:paraId="2848FF89">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（1）电动自行车充电设施安装须符合国标标准GB/T 42236.1-2022 电动自行车集中充电设施。</w:t>
      </w:r>
    </w:p>
    <w:p w14:paraId="39BB5633">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（2）室外安装建筑要求:</w:t>
      </w:r>
    </w:p>
    <w:p w14:paraId="295E4C49">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1）项目实施过程应符合由上海市住房和城乡建设管理委员会批准发布，于2024年10月1日起正式实施的《电动自行车集中充电和停放场所设计标准》（DG/TJ08-2451-2024）；电动自行车集中充电场所车棚的结构安全、与周边建筑的安全距离、停车库每组长度、停车棚内装材料级别、充电设施、消防设施、可视监控系统、照明系统等需符合上海市《电动自行车集中充电和停放场所设计标准》。</w:t>
      </w:r>
    </w:p>
    <w:p w14:paraId="398B0C0E">
      <w:pPr>
        <w:spacing w:after="120" w:afterLines="50"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sz w:val="28"/>
          <w:szCs w:val="28"/>
        </w:rPr>
        <w:t>2）不应占用防火间距、消防车道和消防车登高操作场地，不应妨</w:t>
      </w:r>
      <w:r>
        <w:rPr>
          <w:rFonts w:hint="eastAsia" w:ascii="仿宋" w:hAnsi="仿宋" w:eastAsia="仿宋"/>
          <w:color w:val="000000" w:themeColor="text1"/>
          <w:sz w:val="28"/>
          <w:szCs w:val="28"/>
          <w14:textFill>
            <w14:solidFill>
              <w14:schemeClr w14:val="tx1"/>
            </w14:solidFill>
          </w14:textFill>
        </w:rPr>
        <w:t>碍消防车操作和影响室外消防设施的正常使用。</w:t>
      </w:r>
    </w:p>
    <w:p w14:paraId="2A446431">
      <w:pPr>
        <w:widowControl/>
        <w:spacing w:after="120" w:afterLines="50" w:line="400" w:lineRule="exact"/>
        <w:ind w:firstLine="560" w:firstLineChars="200"/>
        <w:jc w:val="left"/>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3）</w:t>
      </w:r>
      <w:r>
        <w:rPr>
          <w:rFonts w:hint="eastAsia" w:ascii="仿宋" w:hAnsi="仿宋" w:eastAsia="仿宋"/>
          <w:color w:val="000000" w:themeColor="text1"/>
          <w:sz w:val="28"/>
          <w:szCs w:val="28"/>
          <w14:textFill>
            <w14:solidFill>
              <w14:schemeClr w14:val="tx1"/>
            </w14:solidFill>
          </w14:textFill>
        </w:rPr>
        <w:t>车棚要求：车棚结构为钢结构形式（</w:t>
      </w:r>
      <w:r>
        <w:rPr>
          <w:rFonts w:hint="eastAsia" w:ascii="仿宋" w:hAnsi="仿宋" w:eastAsia="仿宋"/>
          <w:b/>
          <w:color w:val="000000" w:themeColor="text1"/>
          <w:sz w:val="28"/>
          <w:szCs w:val="28"/>
          <w14:textFill>
            <w14:solidFill>
              <w14:schemeClr w14:val="tx1"/>
            </w14:solidFill>
          </w14:textFill>
        </w:rPr>
        <w:t>要求见附件3</w:t>
      </w:r>
      <w:r>
        <w:rPr>
          <w:rFonts w:hint="eastAsia" w:ascii="仿宋" w:hAnsi="仿宋" w:eastAsia="仿宋"/>
          <w:color w:val="000000" w:themeColor="text1"/>
          <w:sz w:val="28"/>
          <w:szCs w:val="28"/>
          <w14:textFill>
            <w14:solidFill>
              <w14:schemeClr w14:val="tx1"/>
            </w14:solidFill>
          </w14:textFill>
        </w:rPr>
        <w:t>）</w:t>
      </w:r>
      <w:r>
        <w:rPr>
          <w:rFonts w:hint="eastAsia" w:ascii="仿宋" w:hAnsi="仿宋" w:eastAsia="仿宋"/>
          <w:b/>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具体位置由校方指定，车棚长度根据现场确定。</w:t>
      </w:r>
      <w:r>
        <w:rPr>
          <w:rFonts w:ascii="仿宋" w:hAnsi="仿宋" w:eastAsia="仿宋"/>
          <w:color w:val="000000" w:themeColor="text1"/>
          <w:sz w:val="28"/>
          <w:szCs w:val="28"/>
          <w14:textFill>
            <w14:solidFill>
              <w14:schemeClr w14:val="tx1"/>
            </w14:solidFill>
          </w14:textFill>
        </w:rPr>
        <w:t>并应配置ABC干粉灭火器等灭火器材</w:t>
      </w: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车棚充电设备与周边住户的防火间距不应小于6m</w:t>
      </w:r>
      <w:r>
        <w:rPr>
          <w:rFonts w:hint="eastAsia" w:ascii="仿宋" w:hAnsi="仿宋" w:eastAsia="仿宋"/>
          <w:color w:val="000000" w:themeColor="text1"/>
          <w:sz w:val="28"/>
          <w:szCs w:val="28"/>
          <w14:textFill>
            <w14:solidFill>
              <w14:schemeClr w14:val="tx1"/>
            </w14:solidFill>
          </w14:textFill>
        </w:rPr>
        <w:t>。方案须经校方审批后实施建设。</w:t>
      </w:r>
    </w:p>
    <w:p w14:paraId="0CE6AC50">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4）电气回路要求</w:t>
      </w:r>
    </w:p>
    <w:p w14:paraId="45F3714C">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交流充电控制器输入、输出电气回路要求如下:</w:t>
      </w:r>
    </w:p>
    <w:p w14:paraId="5BD20ADD">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①</w:t>
      </w:r>
      <w:r>
        <w:rPr>
          <w:rFonts w:hint="eastAsia" w:ascii="仿宋" w:hAnsi="仿宋" w:eastAsia="仿宋"/>
          <w:sz w:val="28"/>
          <w:szCs w:val="28"/>
        </w:rPr>
        <w:t>系统为三级负荷;</w:t>
      </w:r>
    </w:p>
    <w:p w14:paraId="0E7B1EF0">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②充电电源应从安装现场建筑物配电室直接引来（由甲方指定位置接入），此回路应为专用回路,并设置专用电表进行计量;</w:t>
      </w:r>
    </w:p>
    <w:p w14:paraId="0B991491">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③设置专用配电箱，配电箱及输出线应安装在不燃烧材料上，配电箱应设置在充电区外的主出入口附近。配电箱及输出线要求如下:</w:t>
      </w:r>
    </w:p>
    <w:p w14:paraId="50445FC7">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a每个回路应具备过载、短路、过电压、欠电压及漏电保护。室外安装的配电箱应安装浪涌保护器;</w:t>
      </w:r>
    </w:p>
    <w:p w14:paraId="148D9539">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b配电回路制式应为TN-S或TT制式;</w:t>
      </w:r>
    </w:p>
    <w:p w14:paraId="46FC7D3E">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c配电容量按照每个充电插座负荷300</w:t>
      </w:r>
      <w:r>
        <w:rPr>
          <w:rFonts w:ascii="仿宋" w:hAnsi="仿宋" w:eastAsia="仿宋"/>
          <w:sz w:val="28"/>
          <w:szCs w:val="28"/>
        </w:rPr>
        <w:t>W</w:t>
      </w:r>
      <w:r>
        <w:rPr>
          <w:rFonts w:hint="eastAsia" w:ascii="仿宋" w:hAnsi="仿宋" w:eastAsia="仿宋"/>
          <w:sz w:val="28"/>
          <w:szCs w:val="28"/>
        </w:rPr>
        <w:t>需用系数10和充电插座数量进行计算。</w:t>
      </w:r>
    </w:p>
    <w:p w14:paraId="69577FFC">
      <w:pPr>
        <w:spacing w:after="120" w:afterLines="50" w:line="400" w:lineRule="exact"/>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）线缆可采用桥架、线槽、线管直埋等方式进行铺设;</w:t>
      </w:r>
    </w:p>
    <w:p w14:paraId="2C1810FA">
      <w:pPr>
        <w:spacing w:after="120" w:afterLines="50" w:line="400" w:lineRule="exact"/>
        <w:ind w:firstLine="560" w:firstLineChars="200"/>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）可落地安装或贴墙或依靠车棚支撑而建的横向支撑物上进行安装,安装高度不小于1</w:t>
      </w:r>
      <w:r>
        <w:rPr>
          <w:rFonts w:ascii="仿宋" w:hAnsi="仿宋" w:eastAsia="仿宋"/>
          <w:sz w:val="28"/>
          <w:szCs w:val="28"/>
        </w:rPr>
        <w:t>M</w:t>
      </w:r>
      <w:r>
        <w:rPr>
          <w:rFonts w:hint="eastAsia" w:ascii="仿宋" w:hAnsi="仿宋" w:eastAsia="仿宋"/>
          <w:sz w:val="28"/>
          <w:szCs w:val="28"/>
        </w:rPr>
        <w:t>，垂直倾斜度不大于 5%;</w:t>
      </w:r>
    </w:p>
    <w:p w14:paraId="136AFC74">
      <w:pPr>
        <w:spacing w:after="120" w:afterLines="50" w:line="400" w:lineRule="exact"/>
        <w:ind w:firstLine="560" w:firstLineChars="200"/>
        <w:rPr>
          <w:rFonts w:ascii="仿宋" w:hAnsi="仿宋" w:eastAsia="仿宋"/>
          <w:sz w:val="28"/>
          <w:szCs w:val="28"/>
        </w:rPr>
      </w:pPr>
      <w:r>
        <w:rPr>
          <w:rFonts w:ascii="仿宋" w:hAnsi="仿宋" w:eastAsia="仿宋"/>
          <w:sz w:val="28"/>
          <w:szCs w:val="28"/>
        </w:rPr>
        <w:t>7</w:t>
      </w:r>
      <w:r>
        <w:rPr>
          <w:rFonts w:hint="eastAsia" w:ascii="仿宋" w:hAnsi="仿宋" w:eastAsia="仿宋"/>
          <w:sz w:val="28"/>
          <w:szCs w:val="28"/>
        </w:rPr>
        <w:t>）输出线线槽安装和插座的安装距地高度0.8</w:t>
      </w:r>
      <w:r>
        <w:rPr>
          <w:rFonts w:ascii="仿宋" w:hAnsi="仿宋" w:eastAsia="仿宋"/>
          <w:sz w:val="28"/>
          <w:szCs w:val="28"/>
        </w:rPr>
        <w:t>M</w:t>
      </w:r>
      <w:r>
        <w:rPr>
          <w:rFonts w:hint="eastAsia" w:ascii="仿宋" w:hAnsi="仿宋" w:eastAsia="仿宋"/>
          <w:sz w:val="28"/>
          <w:szCs w:val="28"/>
        </w:rPr>
        <w:t>～1</w:t>
      </w:r>
      <w:r>
        <w:rPr>
          <w:rFonts w:ascii="仿宋" w:hAnsi="仿宋" w:eastAsia="仿宋"/>
          <w:sz w:val="28"/>
          <w:szCs w:val="28"/>
        </w:rPr>
        <w:t>M</w:t>
      </w:r>
      <w:r>
        <w:rPr>
          <w:rFonts w:hint="eastAsia" w:ascii="仿宋" w:hAnsi="仿宋" w:eastAsia="仿宋"/>
          <w:sz w:val="28"/>
          <w:szCs w:val="28"/>
        </w:rPr>
        <w:t>;</w:t>
      </w:r>
    </w:p>
    <w:p w14:paraId="76E91CA9">
      <w:pPr>
        <w:spacing w:after="120" w:afterLines="50" w:line="400" w:lineRule="exact"/>
        <w:ind w:firstLine="565" w:firstLineChars="202"/>
        <w:rPr>
          <w:rFonts w:ascii="仿宋" w:hAnsi="仿宋" w:eastAsia="仿宋"/>
          <w:sz w:val="28"/>
          <w:szCs w:val="28"/>
        </w:rPr>
      </w:pPr>
      <w:r>
        <w:rPr>
          <w:rFonts w:ascii="仿宋" w:hAnsi="仿宋" w:eastAsia="仿宋"/>
          <w:sz w:val="28"/>
          <w:szCs w:val="28"/>
        </w:rPr>
        <w:t>8</w:t>
      </w:r>
      <w:r>
        <w:rPr>
          <w:rFonts w:hint="eastAsia" w:ascii="仿宋" w:hAnsi="仿宋" w:eastAsia="仿宋"/>
          <w:sz w:val="28"/>
          <w:szCs w:val="28"/>
        </w:rPr>
        <w:t>）每个充电插座的间距应满足充电要求,其间距宜 0.8</w:t>
      </w:r>
      <w:r>
        <w:rPr>
          <w:rFonts w:ascii="仿宋" w:hAnsi="仿宋" w:eastAsia="仿宋"/>
          <w:sz w:val="28"/>
          <w:szCs w:val="28"/>
        </w:rPr>
        <w:t>M</w:t>
      </w:r>
      <w:r>
        <w:rPr>
          <w:rFonts w:hint="eastAsia" w:ascii="仿宋" w:hAnsi="仿宋" w:eastAsia="仿宋"/>
          <w:sz w:val="28"/>
          <w:szCs w:val="28"/>
        </w:rPr>
        <w:t>;</w:t>
      </w:r>
    </w:p>
    <w:p w14:paraId="51D83B6D">
      <w:pPr>
        <w:spacing w:after="120" w:afterLines="50" w:line="400" w:lineRule="exact"/>
        <w:ind w:firstLine="565" w:firstLineChars="202"/>
        <w:rPr>
          <w:rFonts w:ascii="仿宋" w:hAnsi="仿宋" w:eastAsia="仿宋"/>
          <w:sz w:val="28"/>
          <w:szCs w:val="28"/>
        </w:rPr>
      </w:pPr>
      <w:r>
        <w:rPr>
          <w:rFonts w:ascii="仿宋" w:hAnsi="仿宋" w:eastAsia="仿宋"/>
          <w:sz w:val="28"/>
          <w:szCs w:val="28"/>
        </w:rPr>
        <w:t>9</w:t>
      </w:r>
      <w:r>
        <w:rPr>
          <w:rFonts w:hint="eastAsia" w:ascii="仿宋" w:hAnsi="仿宋" w:eastAsia="仿宋"/>
          <w:sz w:val="28"/>
          <w:szCs w:val="28"/>
        </w:rPr>
        <w:t>）应采用两孔加三孔10A插座,插座应符合GB/T 2099.1的要求室外安装还需有防水罩，安装防水罩后，插座的防水等级应符合IPX4 要求。</w:t>
      </w:r>
    </w:p>
    <w:p w14:paraId="5F0B6807">
      <w:pPr>
        <w:spacing w:after="120" w:afterLines="50" w:line="400" w:lineRule="exact"/>
        <w:ind w:firstLine="565" w:firstLineChars="202"/>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）硬件要求：</w:t>
      </w:r>
    </w:p>
    <w:p w14:paraId="3E0318A2">
      <w:pPr>
        <w:spacing w:after="120" w:afterLines="50" w:line="400" w:lineRule="exact"/>
        <w:ind w:firstLine="565" w:firstLineChars="202"/>
        <w:rPr>
          <w:rFonts w:ascii="仿宋" w:hAnsi="仿宋" w:eastAsia="仿宋"/>
          <w:sz w:val="28"/>
          <w:szCs w:val="28"/>
        </w:rPr>
      </w:pPr>
      <w:r>
        <w:rPr>
          <w:rFonts w:hint="eastAsia" w:ascii="仿宋" w:hAnsi="仿宋" w:eastAsia="仿宋"/>
          <w:sz w:val="28"/>
          <w:szCs w:val="28"/>
        </w:rPr>
        <w:t>1）电压：输入/输出：单相 AC220V 50HZ；单个充电口最大承载电流：4.5A（可调整）；</w:t>
      </w:r>
    </w:p>
    <w:p w14:paraId="129512DE">
      <w:pPr>
        <w:spacing w:after="120" w:afterLines="50" w:line="400" w:lineRule="exact"/>
        <w:ind w:firstLine="565" w:firstLineChars="202"/>
        <w:rPr>
          <w:rFonts w:ascii="仿宋" w:hAnsi="仿宋" w:eastAsia="仿宋"/>
          <w:sz w:val="28"/>
          <w:szCs w:val="28"/>
        </w:rPr>
      </w:pPr>
      <w:r>
        <w:rPr>
          <w:rFonts w:hint="eastAsia" w:ascii="仿宋" w:hAnsi="仿宋" w:eastAsia="仿宋"/>
          <w:sz w:val="28"/>
          <w:szCs w:val="28"/>
        </w:rPr>
        <w:t>2）充电设施应具备充满自动断电、定时断电、过载保护、短路保护、漏电保护、充电故障自动断电、充电故障报警、高温报警等功能;</w:t>
      </w:r>
    </w:p>
    <w:p w14:paraId="4CDF39AD">
      <w:pPr>
        <w:spacing w:after="120" w:afterLines="50" w:line="400" w:lineRule="exact"/>
        <w:ind w:firstLine="565" w:firstLineChars="202"/>
        <w:rPr>
          <w:rFonts w:ascii="仿宋" w:hAnsi="仿宋" w:eastAsia="仿宋"/>
          <w:sz w:val="28"/>
          <w:szCs w:val="28"/>
        </w:rPr>
      </w:pPr>
      <w:r>
        <w:rPr>
          <w:rFonts w:hint="eastAsia" w:ascii="仿宋" w:hAnsi="仿宋" w:eastAsia="仿宋"/>
          <w:sz w:val="28"/>
          <w:szCs w:val="28"/>
        </w:rPr>
        <w:t>3）远程设置：支持远程充电，远程续充；</w:t>
      </w:r>
    </w:p>
    <w:p w14:paraId="213B85B0">
      <w:pPr>
        <w:spacing w:after="120" w:afterLines="50" w:line="400" w:lineRule="exact"/>
        <w:ind w:firstLine="565" w:firstLineChars="202"/>
        <w:rPr>
          <w:rFonts w:ascii="仿宋" w:hAnsi="仿宋" w:eastAsia="仿宋"/>
          <w:sz w:val="28"/>
          <w:szCs w:val="28"/>
        </w:rPr>
      </w:pPr>
      <w:r>
        <w:rPr>
          <w:rFonts w:hint="eastAsia" w:ascii="仿宋" w:hAnsi="仿宋" w:eastAsia="仿宋"/>
          <w:sz w:val="28"/>
          <w:szCs w:val="28"/>
        </w:rPr>
        <w:t>4）智能充电站在平时不充电及待机情况下，插座处于断电绝缘状态；</w:t>
      </w:r>
    </w:p>
    <w:p w14:paraId="58FCBE50">
      <w:pPr>
        <w:spacing w:after="120" w:afterLines="50" w:line="400" w:lineRule="exact"/>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）充满自停：电动车充满电后系统识别出电池已属于饱和状态时自动断电，确保电池防止过充，达到保护电池使用的效果；</w:t>
      </w:r>
    </w:p>
    <w:p w14:paraId="79675D14">
      <w:pPr>
        <w:spacing w:after="120" w:afterLines="50" w:line="400" w:lineRule="exact"/>
        <w:ind w:firstLine="560" w:firstLineChars="200"/>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自动断电：充电过程中用户拔掉插头，设备识别到无荷载即自动断电，确保全程安全供电；</w:t>
      </w:r>
    </w:p>
    <w:p w14:paraId="272E0889">
      <w:pPr>
        <w:spacing w:after="120" w:afterLines="50" w:line="400" w:lineRule="exact"/>
        <w:ind w:firstLine="560" w:firstLineChars="200"/>
        <w:rPr>
          <w:rFonts w:ascii="仿宋" w:hAnsi="仿宋" w:eastAsia="仿宋"/>
          <w:sz w:val="28"/>
          <w:szCs w:val="28"/>
        </w:rPr>
      </w:pPr>
      <w:r>
        <w:rPr>
          <w:rFonts w:ascii="仿宋" w:hAnsi="仿宋" w:eastAsia="仿宋"/>
          <w:sz w:val="28"/>
          <w:szCs w:val="28"/>
        </w:rPr>
        <w:t>7</w:t>
      </w:r>
      <w:r>
        <w:rPr>
          <w:rFonts w:hint="eastAsia" w:ascii="仿宋" w:hAnsi="仿宋" w:eastAsia="仿宋"/>
          <w:sz w:val="28"/>
          <w:szCs w:val="28"/>
        </w:rPr>
        <w:t>）</w:t>
      </w:r>
      <w:r>
        <w:rPr>
          <w:rFonts w:ascii="仿宋" w:hAnsi="仿宋" w:eastAsia="仿宋"/>
          <w:sz w:val="28"/>
          <w:szCs w:val="28"/>
        </w:rPr>
        <w:t>设备需支持主流的微信或支付宝等支付方式；</w:t>
      </w:r>
    </w:p>
    <w:p w14:paraId="7D5AC40F">
      <w:pPr>
        <w:spacing w:after="120" w:afterLines="50" w:line="400" w:lineRule="exact"/>
        <w:ind w:firstLine="560" w:firstLineChars="200"/>
        <w:rPr>
          <w:rFonts w:ascii="仿宋" w:hAnsi="仿宋" w:eastAsia="仿宋"/>
          <w:sz w:val="28"/>
          <w:szCs w:val="28"/>
        </w:rPr>
      </w:pPr>
      <w:r>
        <w:rPr>
          <w:rFonts w:ascii="仿宋" w:hAnsi="仿宋" w:eastAsia="仿宋"/>
          <w:sz w:val="28"/>
          <w:szCs w:val="28"/>
        </w:rPr>
        <w:t>8</w:t>
      </w:r>
      <w:r>
        <w:rPr>
          <w:rFonts w:hint="eastAsia" w:ascii="仿宋" w:hAnsi="仿宋" w:eastAsia="仿宋"/>
          <w:sz w:val="28"/>
          <w:szCs w:val="28"/>
        </w:rPr>
        <w:t>）充满自动断电：自动断电，停止供电，停止计费。有效避免过充带来电池爆炸，元器件发热起火等故障，无需依赖充电器自身配置；</w:t>
      </w:r>
    </w:p>
    <w:p w14:paraId="1EAC5742">
      <w:pPr>
        <w:spacing w:after="120" w:afterLines="50" w:line="400" w:lineRule="exact"/>
        <w:ind w:firstLine="560" w:firstLineChars="200"/>
        <w:rPr>
          <w:rFonts w:ascii="仿宋" w:hAnsi="仿宋" w:eastAsia="仿宋"/>
          <w:sz w:val="28"/>
          <w:szCs w:val="28"/>
        </w:rPr>
      </w:pPr>
      <w:r>
        <w:rPr>
          <w:rFonts w:ascii="仿宋" w:hAnsi="仿宋" w:eastAsia="仿宋"/>
          <w:sz w:val="28"/>
          <w:szCs w:val="28"/>
        </w:rPr>
        <w:t>9</w:t>
      </w:r>
      <w:r>
        <w:rPr>
          <w:rFonts w:hint="eastAsia" w:ascii="仿宋" w:hAnsi="仿宋" w:eastAsia="仿宋"/>
          <w:sz w:val="28"/>
          <w:szCs w:val="28"/>
        </w:rPr>
        <w:t>）防止超负荷电器用电：系统自动识别负载功率，如果用电功率超过电动车充电功率，则系统自动停止供电。（如果用电功率低于最小功率时系统识别不供电）;</w:t>
      </w:r>
    </w:p>
    <w:p w14:paraId="38C8CF9A">
      <w:pPr>
        <w:spacing w:after="120" w:afterLines="50" w:line="400" w:lineRule="exact"/>
        <w:ind w:firstLine="560" w:firstLineChars="200"/>
        <w:rPr>
          <w:rFonts w:ascii="仿宋" w:hAnsi="仿宋" w:eastAsia="仿宋"/>
          <w:sz w:val="28"/>
          <w:szCs w:val="28"/>
        </w:rPr>
      </w:pPr>
      <w:r>
        <w:rPr>
          <w:rFonts w:ascii="仿宋" w:hAnsi="仿宋" w:eastAsia="仿宋"/>
          <w:sz w:val="28"/>
          <w:szCs w:val="28"/>
        </w:rPr>
        <w:t>10</w:t>
      </w:r>
      <w:r>
        <w:rPr>
          <w:rFonts w:hint="eastAsia" w:ascii="仿宋" w:hAnsi="仿宋" w:eastAsia="仿宋"/>
          <w:sz w:val="28"/>
          <w:szCs w:val="28"/>
        </w:rPr>
        <w:t>）自身安全性：随时对输入和输出电压进行检测控制；</w:t>
      </w:r>
    </w:p>
    <w:p w14:paraId="3FDB6E78">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1</w:t>
      </w:r>
      <w:r>
        <w:rPr>
          <w:rFonts w:hint="eastAsia" w:ascii="仿宋" w:hAnsi="仿宋" w:eastAsia="仿宋"/>
          <w:sz w:val="28"/>
          <w:szCs w:val="28"/>
        </w:rPr>
        <w:t>）充电对电池的影响：设备使用正常供电方式，对电池没有影响；</w:t>
      </w:r>
    </w:p>
    <w:p w14:paraId="697AB44B">
      <w:pPr>
        <w:spacing w:after="120" w:afterLines="50" w:line="400" w:lineRule="exact"/>
        <w:ind w:firstLine="560" w:firstLineChars="200"/>
        <w:rPr>
          <w:rFonts w:hint="eastAsia" w:ascii="仿宋" w:hAnsi="仿宋" w:eastAsia="仿宋"/>
          <w:sz w:val="28"/>
          <w:szCs w:val="28"/>
        </w:rPr>
      </w:pPr>
      <w:r>
        <w:rPr>
          <w:rFonts w:hint="eastAsia" w:ascii="仿宋" w:hAnsi="仿宋" w:eastAsia="仿宋"/>
          <w:sz w:val="28"/>
          <w:szCs w:val="28"/>
        </w:rPr>
        <w:t>1</w:t>
      </w:r>
      <w:r>
        <w:rPr>
          <w:rFonts w:ascii="仿宋" w:hAnsi="仿宋" w:eastAsia="仿宋"/>
          <w:sz w:val="28"/>
          <w:szCs w:val="28"/>
        </w:rPr>
        <w:t>2</w:t>
      </w:r>
      <w:r>
        <w:rPr>
          <w:rFonts w:hint="eastAsia" w:ascii="仿宋" w:hAnsi="仿宋" w:eastAsia="仿宋"/>
          <w:sz w:val="28"/>
          <w:szCs w:val="28"/>
        </w:rPr>
        <w:t>）设备可靠性：电子器件全部采用标准器件，具有防偷电功能，工作可靠；电路板进行三防处理，设备密封良好；</w:t>
      </w:r>
    </w:p>
    <w:p w14:paraId="7BCDD9F3">
      <w:pPr>
        <w:spacing w:after="120" w:afterLines="50" w:line="400" w:lineRule="exact"/>
        <w:ind w:firstLine="560" w:firstLineChars="200"/>
        <w:rPr>
          <w:rFonts w:hint="eastAsia" w:ascii="仿宋" w:hAnsi="仿宋" w:eastAsia="仿宋"/>
          <w:sz w:val="28"/>
          <w:szCs w:val="28"/>
        </w:rPr>
      </w:pPr>
      <w:r>
        <w:rPr>
          <w:rFonts w:ascii="仿宋" w:hAnsi="仿宋" w:eastAsia="仿宋"/>
          <w:sz w:val="28"/>
          <w:szCs w:val="28"/>
        </w:rPr>
        <w:t>13</w:t>
      </w:r>
      <w:r>
        <w:rPr>
          <w:rFonts w:hint="eastAsia" w:ascii="仿宋" w:hAnsi="仿宋" w:eastAsia="仿宋"/>
          <w:sz w:val="28"/>
          <w:szCs w:val="28"/>
        </w:rPr>
        <w:t>）充电费用按分钟计费，设备断电后停止计费。</w:t>
      </w:r>
    </w:p>
    <w:p w14:paraId="2D49DED9">
      <w:pPr>
        <w:spacing w:after="120" w:afterLines="50" w:line="400" w:lineRule="exact"/>
        <w:ind w:firstLine="560" w:firstLineChars="200"/>
        <w:rPr>
          <w:rFonts w:hint="eastAsia" w:ascii="仿宋" w:hAnsi="仿宋" w:eastAsia="仿宋"/>
          <w:bCs/>
          <w:sz w:val="28"/>
          <w:szCs w:val="28"/>
        </w:rPr>
      </w:pPr>
    </w:p>
    <w:p w14:paraId="0AF76E44">
      <w:pPr>
        <w:spacing w:after="120" w:afterLines="50" w:line="400" w:lineRule="exact"/>
        <w:ind w:firstLine="560" w:firstLineChars="200"/>
        <w:rPr>
          <w:rFonts w:ascii="仿宋" w:hAnsi="仿宋" w:eastAsia="仿宋"/>
          <w:bCs/>
          <w:sz w:val="28"/>
          <w:szCs w:val="28"/>
        </w:rPr>
      </w:pPr>
      <w:r>
        <w:rPr>
          <w:rFonts w:ascii="仿宋" w:hAnsi="仿宋" w:eastAsia="仿宋"/>
          <w:bCs/>
          <w:sz w:val="28"/>
          <w:szCs w:val="28"/>
        </w:rPr>
        <w:t>4</w:t>
      </w:r>
      <w:r>
        <w:rPr>
          <w:rFonts w:hint="eastAsia" w:ascii="仿宋" w:hAnsi="仿宋" w:eastAsia="仿宋"/>
          <w:bCs/>
          <w:sz w:val="28"/>
          <w:szCs w:val="28"/>
        </w:rPr>
        <w:t>.软件要求</w:t>
      </w:r>
    </w:p>
    <w:p w14:paraId="2C51ED7B">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（1）智能充电桩必须是以平台化管理的大数据架构系统。</w:t>
      </w:r>
    </w:p>
    <w:p w14:paraId="4EE25618">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（2）电动自行车充电桩平台要求：平台可查看站点信息、设备信息、用户信息、设备在线状态、用电量、充电起止时间、消费情况、充电状态、结束类型等。</w:t>
      </w:r>
    </w:p>
    <w:p w14:paraId="77DA2E6E">
      <w:pPr>
        <w:spacing w:after="120" w:afterLines="50"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sz w:val="28"/>
          <w:szCs w:val="28"/>
        </w:rPr>
        <w:t>（3）支付方式</w:t>
      </w:r>
      <w:r>
        <w:rPr>
          <w:rFonts w:hint="eastAsia" w:ascii="仿宋" w:hAnsi="仿宋" w:eastAsia="仿宋"/>
          <w:color w:val="000000" w:themeColor="text1"/>
          <w:sz w:val="28"/>
          <w:szCs w:val="28"/>
          <w14:textFill>
            <w14:solidFill>
              <w14:schemeClr w14:val="tx1"/>
            </w14:solidFill>
          </w14:textFill>
        </w:rPr>
        <w:t>：支持移动端支付。</w:t>
      </w:r>
    </w:p>
    <w:p w14:paraId="3E2A100D">
      <w:pPr>
        <w:spacing w:after="120" w:afterLines="50"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（4）电动自行车充电桩平台识别要求：平台需具备智能识别功能，根据不同车型的充电功率、充电时长、结束状态等具备智能识别功能。</w:t>
      </w:r>
    </w:p>
    <w:p w14:paraId="11F32755">
      <w:pPr>
        <w:spacing w:after="120" w:afterLines="50"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（5）计费要求：电动自行车充电桩按分钟计费，断电后自动计费。</w:t>
      </w:r>
    </w:p>
    <w:p w14:paraId="4F854DCC">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（6）电动自行车充电桩平台远程控制要求：远程控制，对充电、断电智能功能实现远程平台端及客户端控制。</w:t>
      </w:r>
    </w:p>
    <w:p w14:paraId="3429FD57">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（7）电动自行车充电桩断电要求：当用户开始充电出现过载、过压、高温、漏电，充电桩具备检测功能，启动充电保护并执行自动断电程序，系统并推送账单信息至客户端。</w:t>
      </w:r>
    </w:p>
    <w:p w14:paraId="36A0CFF9">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8）电动自行车充电桩异常断电要求：当用户开始充电出现插座误拔、充电器异常情况，系统启动充电保护并执行自动断电程序。对充电过程中如果遇到异常断电，需保存充电状态，来电后恢复之前的充电状态。</w:t>
      </w:r>
    </w:p>
    <w:p w14:paraId="5C94B644">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9</w:t>
      </w:r>
      <w:r>
        <w:rPr>
          <w:rFonts w:hint="eastAsia" w:ascii="仿宋" w:hAnsi="仿宋" w:eastAsia="仿宋"/>
          <w:sz w:val="28"/>
          <w:szCs w:val="28"/>
        </w:rPr>
        <w:t>）功率要求</w:t>
      </w:r>
      <w:r>
        <w:rPr>
          <w:rFonts w:ascii="仿宋" w:hAnsi="仿宋" w:eastAsia="仿宋"/>
          <w:sz w:val="28"/>
          <w:szCs w:val="28"/>
        </w:rPr>
        <w:t>:电动自行车充电桩单路支持0-990W，平台可自行设置极限功率；本</w:t>
      </w:r>
      <w:r>
        <w:rPr>
          <w:rFonts w:hint="eastAsia" w:ascii="仿宋" w:hAnsi="仿宋" w:eastAsia="仿宋"/>
          <w:sz w:val="28"/>
          <w:szCs w:val="28"/>
        </w:rPr>
        <w:t>项目极限功率</w:t>
      </w:r>
      <w:r>
        <w:rPr>
          <w:rFonts w:ascii="仿宋" w:hAnsi="仿宋" w:eastAsia="仿宋"/>
          <w:sz w:val="28"/>
          <w:szCs w:val="28"/>
        </w:rPr>
        <w:t>300W，300W以上禁止</w:t>
      </w:r>
      <w:r>
        <w:rPr>
          <w:rFonts w:hint="eastAsia" w:ascii="仿宋" w:hAnsi="仿宋" w:eastAsia="仿宋"/>
          <w:sz w:val="28"/>
          <w:szCs w:val="28"/>
        </w:rPr>
        <w:t>充电。</w:t>
      </w:r>
    </w:p>
    <w:p w14:paraId="51054A27">
      <w:pPr>
        <w:spacing w:after="120" w:afterLines="50"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sz w:val="28"/>
          <w:szCs w:val="28"/>
        </w:rPr>
        <w:t>（10）电动自行车充电桩平台统计要求：平台对充电桩的使用情况（插座数量、用电量、使用次数、平均时长、使用天数）进行监管、统计</w:t>
      </w:r>
      <w:r>
        <w:rPr>
          <w:rFonts w:hint="eastAsia" w:ascii="仿宋" w:hAnsi="仿宋" w:eastAsia="仿宋"/>
          <w:color w:val="000000" w:themeColor="text1"/>
          <w:sz w:val="28"/>
          <w:szCs w:val="28"/>
          <w14:textFill>
            <w14:solidFill>
              <w14:schemeClr w14:val="tx1"/>
            </w14:solidFill>
          </w14:textFill>
        </w:rPr>
        <w:t>、并生成报表，并且可以开放权限供学校查看。</w:t>
      </w:r>
    </w:p>
    <w:p w14:paraId="5C88A252">
      <w:pPr>
        <w:spacing w:after="120" w:afterLines="50"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（11）智能充电桩服务平台应具备白名单批量对接功能，即该功能具备实现在学校开展自有电动自行车管理后能够实现仅提供登记后的校内车辆充电管理要求。</w:t>
      </w:r>
    </w:p>
    <w:p w14:paraId="6335A07D">
      <w:pPr>
        <w:spacing w:after="120" w:afterLines="50" w:line="400" w:lineRule="exact"/>
        <w:ind w:firstLine="560" w:firstLineChars="200"/>
        <w:rPr>
          <w:rFonts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5.用户终端</w:t>
      </w:r>
    </w:p>
    <w:p w14:paraId="51CA7B3B">
      <w:pPr>
        <w:spacing w:after="120" w:afterLines="50"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（1）支付方式：支持移动端扫码。</w:t>
      </w:r>
    </w:p>
    <w:p w14:paraId="528BE04B">
      <w:pPr>
        <w:spacing w:after="120" w:afterLines="50" w:line="400" w:lineRule="exact"/>
        <w:ind w:firstLine="560" w:firstLineChars="200"/>
        <w:rPr>
          <w:rFonts w:ascii="仿宋" w:hAnsi="仿宋" w:eastAsia="仿宋"/>
          <w:sz w:val="28"/>
          <w:szCs w:val="28"/>
        </w:rPr>
      </w:pPr>
      <w:r>
        <w:rPr>
          <w:rFonts w:hint="eastAsia" w:ascii="仿宋" w:hAnsi="仿宋" w:eastAsia="仿宋"/>
          <w:color w:val="000000" w:themeColor="text1"/>
          <w:sz w:val="28"/>
          <w:szCs w:val="28"/>
          <w14:textFill>
            <w14:solidFill>
              <w14:schemeClr w14:val="tx1"/>
            </w14:solidFill>
          </w14:textFill>
        </w:rPr>
        <w:t>（2）显示功能要求：电动自行车充电用户端应在用户端能够查询到运行状态、空闲插座、充电功率、充电时间、计费信息、故障提</w:t>
      </w:r>
      <w:r>
        <w:rPr>
          <w:rFonts w:hint="eastAsia" w:ascii="仿宋" w:hAnsi="仿宋" w:eastAsia="仿宋"/>
          <w:sz w:val="28"/>
          <w:szCs w:val="28"/>
        </w:rPr>
        <w:t>示信息等信息。</w:t>
      </w:r>
    </w:p>
    <w:p w14:paraId="654213BE">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（3）显示信息要求：显示信息包括不限于充电用时、充电状态、订单总价等内容。</w:t>
      </w:r>
    </w:p>
    <w:p w14:paraId="691C2C2D">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（4）充电计费要求：电动自行车充电桩充电计费精确到分钟，自动退费；</w:t>
      </w:r>
    </w:p>
    <w:p w14:paraId="5B65A3B2">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（5）远程控制要求：支持远程断电,当手机软件内点击停止充电按钮，充电桩应停止供电。</w:t>
      </w:r>
    </w:p>
    <w:p w14:paraId="70C99FA5">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（6）</w:t>
      </w:r>
      <w:r>
        <w:rPr>
          <w:rFonts w:hint="eastAsia" w:ascii="仿宋" w:hAnsi="仿宋" w:eastAsia="仿宋"/>
          <w:sz w:val="28"/>
          <w:szCs w:val="28"/>
          <w:highlight w:val="none"/>
        </w:rPr>
        <w:t>用户卡管理要求：可自行通过手机进行绑定和解绑，如遗失可挂失。</w:t>
      </w:r>
    </w:p>
    <w:p w14:paraId="6CE6A7CD">
      <w:pPr>
        <w:spacing w:after="120" w:afterLines="50" w:line="400" w:lineRule="exact"/>
        <w:ind w:firstLine="560" w:firstLineChars="200"/>
        <w:rPr>
          <w:rFonts w:ascii="仿宋" w:hAnsi="仿宋" w:eastAsia="仿宋"/>
          <w:bCs/>
          <w:sz w:val="28"/>
          <w:szCs w:val="28"/>
        </w:rPr>
      </w:pPr>
      <w:r>
        <w:rPr>
          <w:rFonts w:hint="eastAsia" w:ascii="仿宋" w:hAnsi="仿宋" w:eastAsia="仿宋"/>
          <w:bCs/>
          <w:sz w:val="28"/>
          <w:szCs w:val="28"/>
        </w:rPr>
        <w:t>6.消防设施</w:t>
      </w:r>
    </w:p>
    <w:p w14:paraId="7A22280B">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每个充电桩点位车棚配置悬挂式干粉灭火装置，设计间距要符合消防相关规定要求，每间隔4米 悬挂一组4KG以上的悬挂式干粉灭火装置。灭火器及消防器具的提供、安装、更换的费用由中标人自行承担。</w:t>
      </w:r>
    </w:p>
    <w:p w14:paraId="38E49CE0">
      <w:pPr>
        <w:spacing w:after="120" w:afterLines="50" w:line="400" w:lineRule="exact"/>
        <w:ind w:firstLine="560" w:firstLineChars="200"/>
        <w:jc w:val="left"/>
        <w:rPr>
          <w:rFonts w:ascii="仿宋" w:hAnsi="仿宋" w:eastAsia="仿宋"/>
          <w:sz w:val="28"/>
          <w:szCs w:val="28"/>
        </w:rPr>
      </w:pPr>
      <w:r>
        <w:rPr>
          <w:rFonts w:hint="eastAsia" w:ascii="仿宋" w:hAnsi="仿宋" w:eastAsia="仿宋"/>
          <w:sz w:val="28"/>
          <w:szCs w:val="28"/>
        </w:rPr>
        <w:t>三、采购项目的明细数量、交付或实施时间、地点</w:t>
      </w:r>
    </w:p>
    <w:p w14:paraId="32A29547">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中标单位在学生社区指定的室外场地投资建设不少于230个充电桩插口和车棚供学生使用，自合同签订之日起45天内完成施工，投入运营使用。</w:t>
      </w:r>
    </w:p>
    <w:p w14:paraId="464B8BB1">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四、采购项目需满足的服务标准、期限、效率等要求</w:t>
      </w:r>
    </w:p>
    <w:p w14:paraId="595BE929">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 xml:space="preserve">本次招标十年有效，合同每五年一签。每年进行服务满意度测评，测评未通过的，发包方有权终止服务合同。 </w:t>
      </w:r>
    </w:p>
    <w:p w14:paraId="473B5501">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五、合同款项的支付方式、时间、条件</w:t>
      </w:r>
    </w:p>
    <w:p w14:paraId="6B31657F">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中标方在学校指定的室外场地，投资建设充电桩和车棚，并负责设备运营、维护、更新等，自主运营，自负盈亏，并保证学生充电和信息安全。学生充电费用扫码支付给中标方，每小时充电价格不高于0.15元，按分钟计费，充满自动断电并退还剩余金额。</w:t>
      </w:r>
    </w:p>
    <w:p w14:paraId="636857D4">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中标方向发包方缴纳充电费用的20%作为物业服务费，物业服务费每6个月缴纳一次。</w:t>
      </w:r>
      <w:r>
        <w:rPr>
          <w:rFonts w:ascii="仿宋" w:hAnsi="仿宋" w:eastAsia="仿宋"/>
          <w:sz w:val="28"/>
          <w:szCs w:val="28"/>
        </w:rPr>
        <w:t>合同签订前，</w:t>
      </w:r>
      <w:r>
        <w:rPr>
          <w:rFonts w:hint="eastAsia" w:ascii="仿宋" w:hAnsi="仿宋" w:eastAsia="仿宋"/>
          <w:sz w:val="28"/>
          <w:szCs w:val="28"/>
        </w:rPr>
        <w:t>中标方</w:t>
      </w:r>
      <w:r>
        <w:rPr>
          <w:rFonts w:ascii="仿宋" w:hAnsi="仿宋" w:eastAsia="仿宋"/>
          <w:sz w:val="28"/>
          <w:szCs w:val="28"/>
        </w:rPr>
        <w:t>需向发包方支付履约保证金</w:t>
      </w:r>
      <w:r>
        <w:rPr>
          <w:rFonts w:hint="eastAsia" w:ascii="仿宋" w:hAnsi="仿宋" w:eastAsia="仿宋"/>
          <w:sz w:val="28"/>
          <w:szCs w:val="28"/>
        </w:rPr>
        <w:t>5</w:t>
      </w:r>
      <w:r>
        <w:rPr>
          <w:rFonts w:ascii="仿宋" w:hAnsi="仿宋" w:eastAsia="仿宋"/>
          <w:sz w:val="28"/>
          <w:szCs w:val="28"/>
        </w:rPr>
        <w:t>万元，完全履约完毕，发包方无息返还履约保证金。</w:t>
      </w:r>
      <w:r>
        <w:rPr>
          <w:rFonts w:hint="eastAsia" w:ascii="仿宋" w:hAnsi="仿宋" w:eastAsia="仿宋"/>
          <w:sz w:val="28"/>
          <w:szCs w:val="28"/>
        </w:rPr>
        <w:t>学校免收中标方充电桩运营产生的电费。</w:t>
      </w:r>
    </w:p>
    <w:p w14:paraId="48804E0C">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六、项目验收方法或标准</w:t>
      </w:r>
    </w:p>
    <w:p w14:paraId="6BF53E01">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项目建成后由学校按照招标要求组织各方进行验收，验收标准涉及功能测试</w:t>
      </w:r>
      <w:r>
        <w:rPr>
          <w:rFonts w:hint="eastAsia" w:ascii="仿宋" w:hAnsi="仿宋" w:eastAsia="仿宋" w:cs="宋体"/>
          <w:color w:val="000000"/>
          <w:sz w:val="28"/>
          <w:szCs w:val="28"/>
        </w:rPr>
        <w:t>、</w:t>
      </w:r>
      <w:r>
        <w:rPr>
          <w:rFonts w:hint="eastAsia" w:ascii="仿宋" w:hAnsi="仿宋" w:eastAsia="仿宋"/>
          <w:sz w:val="28"/>
          <w:szCs w:val="28"/>
        </w:rPr>
        <w:t>电器安全</w:t>
      </w:r>
      <w:r>
        <w:rPr>
          <w:rFonts w:hint="eastAsia" w:ascii="仿宋" w:hAnsi="仿宋" w:eastAsia="仿宋" w:cs="宋体"/>
          <w:color w:val="000000"/>
          <w:sz w:val="28"/>
          <w:szCs w:val="28"/>
        </w:rPr>
        <w:t>、</w:t>
      </w:r>
      <w:r>
        <w:rPr>
          <w:rFonts w:hint="eastAsia" w:ascii="仿宋" w:hAnsi="仿宋" w:eastAsia="仿宋"/>
          <w:sz w:val="28"/>
          <w:szCs w:val="28"/>
        </w:rPr>
        <w:t>结构安全</w:t>
      </w:r>
      <w:r>
        <w:rPr>
          <w:rFonts w:hint="eastAsia" w:ascii="仿宋" w:hAnsi="仿宋" w:eastAsia="仿宋" w:cs="宋体"/>
          <w:color w:val="000000"/>
          <w:sz w:val="28"/>
          <w:szCs w:val="28"/>
        </w:rPr>
        <w:t>、</w:t>
      </w:r>
      <w:r>
        <w:rPr>
          <w:rFonts w:hint="eastAsia" w:ascii="仿宋" w:hAnsi="仿宋" w:eastAsia="仿宋"/>
          <w:sz w:val="28"/>
          <w:szCs w:val="28"/>
        </w:rPr>
        <w:t>消防要求</w:t>
      </w:r>
      <w:r>
        <w:rPr>
          <w:rFonts w:hint="eastAsia" w:ascii="仿宋" w:hAnsi="仿宋" w:eastAsia="仿宋" w:cs="宋体"/>
          <w:color w:val="000000"/>
          <w:sz w:val="28"/>
          <w:szCs w:val="28"/>
        </w:rPr>
        <w:t>、</w:t>
      </w:r>
      <w:r>
        <w:rPr>
          <w:rFonts w:hint="eastAsia" w:ascii="仿宋" w:hAnsi="仿宋" w:eastAsia="仿宋"/>
          <w:sz w:val="28"/>
          <w:szCs w:val="28"/>
        </w:rPr>
        <w:t>环保规范等多个方面。</w:t>
      </w:r>
    </w:p>
    <w:p w14:paraId="209C19FD">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七、售后服务要求</w:t>
      </w:r>
    </w:p>
    <w:p w14:paraId="2C6EEF65">
      <w:pPr>
        <w:pStyle w:val="6"/>
        <w:spacing w:beforeAutospacing="0" w:after="120" w:afterLines="50" w:afterAutospacing="0" w:line="400" w:lineRule="exact"/>
        <w:ind w:firstLine="480"/>
        <w:jc w:val="both"/>
        <w:rPr>
          <w:rFonts w:ascii="仿宋" w:hAnsi="仿宋" w:eastAsia="仿宋"/>
          <w:sz w:val="28"/>
          <w:szCs w:val="28"/>
        </w:rPr>
      </w:pPr>
      <w:r>
        <w:rPr>
          <w:rFonts w:hint="eastAsia" w:ascii="仿宋" w:hAnsi="仿宋" w:eastAsia="仿宋" w:cs="宋体"/>
          <w:color w:val="000000"/>
          <w:sz w:val="28"/>
          <w:szCs w:val="28"/>
        </w:rPr>
        <w:t>1、中标方提供7×24小时技术支持及上门服务，每个充电桩公示安全提示、报修电话、使用说明、收费标准，公示方式明显、清晰、牢固，接到报修2小时内响应，24小时内解决问题。</w:t>
      </w:r>
    </w:p>
    <w:p w14:paraId="1B169547">
      <w:pPr>
        <w:pStyle w:val="6"/>
        <w:spacing w:beforeAutospacing="0" w:after="120" w:afterLines="50" w:afterAutospacing="0" w:line="400" w:lineRule="exact"/>
        <w:ind w:firstLine="480"/>
        <w:jc w:val="both"/>
        <w:rPr>
          <w:rFonts w:ascii="仿宋" w:hAnsi="仿宋" w:eastAsia="仿宋"/>
          <w:sz w:val="28"/>
          <w:szCs w:val="28"/>
        </w:rPr>
      </w:pPr>
      <w:r>
        <w:rPr>
          <w:rFonts w:hint="eastAsia" w:ascii="仿宋" w:hAnsi="仿宋" w:eastAsia="仿宋" w:cs="宋体"/>
          <w:color w:val="000000"/>
          <w:sz w:val="28"/>
          <w:szCs w:val="28"/>
        </w:rPr>
        <w:t>2、中标方在运输、施工、设备运营中产生的安全生产事故、消防事故、人身伤亡、行政处罚等，均由中标方承担相应的法律及经济责任，包括损失赔偿在内的事故处理的一切费用、工程的恢复费用、处罚费用等。造成人身财产损失的，中标方还应承担一切法律及赔偿责任。</w:t>
      </w:r>
    </w:p>
    <w:p w14:paraId="64B4B56D">
      <w:pPr>
        <w:pStyle w:val="6"/>
        <w:widowControl/>
        <w:tabs>
          <w:tab w:val="left" w:pos="0"/>
          <w:tab w:val="left" w:pos="994"/>
          <w:tab w:val="left" w:pos="1135"/>
        </w:tabs>
        <w:spacing w:beforeAutospacing="0" w:after="120" w:afterLines="50" w:afterAutospacing="0" w:line="400" w:lineRule="exact"/>
        <w:ind w:firstLine="567"/>
        <w:jc w:val="both"/>
        <w:rPr>
          <w:rFonts w:ascii="仿宋" w:hAnsi="仿宋" w:eastAsia="仿宋"/>
          <w:sz w:val="28"/>
          <w:szCs w:val="28"/>
        </w:rPr>
      </w:pPr>
      <w:r>
        <w:rPr>
          <w:rFonts w:hint="eastAsia" w:ascii="仿宋" w:hAnsi="仿宋" w:eastAsia="仿宋" w:cs="宋体"/>
          <w:color w:val="000000"/>
          <w:sz w:val="28"/>
          <w:szCs w:val="28"/>
        </w:rPr>
        <w:t>3、校方不参与中标方的运营管理，但有权对中标单位的服务质量进行抽查，评估和监督，同时向中标方提供合理化建议。若出现违约行为，校方有权对其按违约行为处理，违约金直接从履约保证金中扣除，后续由中标方补足履约保证金。</w:t>
      </w:r>
    </w:p>
    <w:p w14:paraId="6252BB6B">
      <w:pPr>
        <w:pStyle w:val="6"/>
        <w:spacing w:beforeAutospacing="0" w:after="120" w:afterLines="50" w:afterAutospacing="0" w:line="400" w:lineRule="exact"/>
        <w:ind w:firstLine="480"/>
        <w:jc w:val="both"/>
        <w:rPr>
          <w:rFonts w:ascii="仿宋" w:hAnsi="仿宋" w:eastAsia="仿宋"/>
          <w:color w:val="000000"/>
          <w:sz w:val="28"/>
          <w:szCs w:val="28"/>
        </w:rPr>
      </w:pPr>
      <w:r>
        <w:rPr>
          <w:rFonts w:hint="eastAsia" w:ascii="仿宋" w:hAnsi="仿宋" w:eastAsia="仿宋" w:cs="宋体"/>
          <w:color w:val="000000"/>
          <w:sz w:val="28"/>
          <w:szCs w:val="28"/>
        </w:rPr>
        <w:t>4、服务期满或被校方终止合作协议的，中标方在接到校方通知之日起</w:t>
      </w:r>
      <w:r>
        <w:rPr>
          <w:rFonts w:ascii="仿宋" w:hAnsi="仿宋" w:eastAsia="仿宋" w:cs="宋体"/>
          <w:color w:val="000000"/>
          <w:sz w:val="28"/>
          <w:szCs w:val="28"/>
        </w:rPr>
        <w:t>30</w:t>
      </w:r>
      <w:r>
        <w:rPr>
          <w:rFonts w:hint="eastAsia" w:ascii="仿宋" w:hAnsi="仿宋" w:eastAsia="仿宋" w:cs="宋体"/>
          <w:color w:val="000000"/>
          <w:sz w:val="28"/>
          <w:szCs w:val="28"/>
        </w:rPr>
        <w:t>日内拆除全部设备，场地恢复原样，费用由中标方全部承担</w:t>
      </w:r>
      <w:r>
        <w:rPr>
          <w:rFonts w:ascii="仿宋" w:hAnsi="仿宋" w:eastAsia="仿宋"/>
          <w:color w:val="000000"/>
          <w:sz w:val="28"/>
          <w:szCs w:val="28"/>
        </w:rPr>
        <w:t>。</w:t>
      </w:r>
      <w:r>
        <w:rPr>
          <w:rFonts w:hint="eastAsia" w:ascii="仿宋" w:hAnsi="仿宋" w:eastAsia="仿宋"/>
          <w:color w:val="000000"/>
          <w:sz w:val="28"/>
          <w:szCs w:val="28"/>
        </w:rPr>
        <w:t>到期不拆除的，校方有权自行处理充电桩及相关设备设施，费用由中标方承担。</w:t>
      </w:r>
    </w:p>
    <w:p w14:paraId="2A7C49A6">
      <w:pPr>
        <w:pStyle w:val="6"/>
        <w:spacing w:beforeAutospacing="0" w:after="120" w:afterLines="50" w:afterAutospacing="0" w:line="400" w:lineRule="exact"/>
        <w:ind w:firstLine="480"/>
        <w:jc w:val="both"/>
        <w:rPr>
          <w:rFonts w:ascii="仿宋" w:hAnsi="仿宋" w:eastAsia="仿宋"/>
          <w:color w:val="000000"/>
          <w:sz w:val="28"/>
          <w:szCs w:val="28"/>
        </w:rPr>
      </w:pPr>
    </w:p>
    <w:p w14:paraId="479D568E">
      <w:pPr>
        <w:adjustRightInd w:val="0"/>
        <w:snapToGrid w:val="0"/>
        <w:spacing w:after="120" w:afterLines="50" w:line="400" w:lineRule="exact"/>
        <w:jc w:val="center"/>
        <w:rPr>
          <w:rFonts w:ascii="黑体" w:hAnsi="宋体" w:eastAsia="黑体" w:cs="宋体"/>
          <w:sz w:val="36"/>
          <w:szCs w:val="36"/>
        </w:rPr>
      </w:pPr>
      <w:r>
        <w:rPr>
          <w:rFonts w:hint="eastAsia" w:ascii="黑体" w:hAnsi="宋体" w:eastAsia="黑体" w:cs="宋体"/>
          <w:sz w:val="36"/>
          <w:szCs w:val="36"/>
        </w:rPr>
        <w:t>第三部分  评审办法</w:t>
      </w:r>
    </w:p>
    <w:p w14:paraId="2778B148">
      <w:pPr>
        <w:spacing w:after="120" w:afterLines="50" w:line="400" w:lineRule="exact"/>
        <w:ind w:firstLine="560" w:firstLineChars="200"/>
        <w:rPr>
          <w:rFonts w:ascii="仿宋" w:hAnsi="仿宋" w:eastAsia="仿宋" w:cs="Times New Roman"/>
          <w:sz w:val="28"/>
          <w:szCs w:val="28"/>
        </w:rPr>
      </w:pPr>
      <w:r>
        <w:rPr>
          <w:rFonts w:hint="eastAsia" w:ascii="仿宋" w:hAnsi="仿宋" w:eastAsia="仿宋"/>
          <w:sz w:val="28"/>
          <w:szCs w:val="28"/>
        </w:rPr>
        <w:t>1、根据有关法律法规，结合本项目的实际，按照公开、公正、公平的原则。对所有服务商均采用相同的程序和标准评选中标方。</w:t>
      </w:r>
    </w:p>
    <w:p w14:paraId="38A8DFDA">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2、服务商提交磋商响应文件后，磋商评审小组按照规定对服务商进行资格性审查和通过符合性审查，没有通过资格性审查或符合性审查的服务商，不再进行详细评审。</w:t>
      </w:r>
    </w:p>
    <w:p w14:paraId="66CA06B6">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3、磋商评审小组采用综合评估法。服务商总得分为磋商评审小组成员独立打分的平均值，总得分从高到低决定各服务商的排名，依据专家评分由高到低确定本项目一名中标方。</w:t>
      </w:r>
    </w:p>
    <w:p w14:paraId="2C69C96A">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4、磋商评审小组分项打分分值最小单位为“0.1”分，其他得分保留到小数点后二位，第三位数四舍五入。各项评审要点得分不得超过该项的分值。</w:t>
      </w:r>
    </w:p>
    <w:p w14:paraId="139EC708">
      <w:pPr>
        <w:spacing w:after="120" w:afterLines="50" w:line="400" w:lineRule="exact"/>
        <w:ind w:firstLine="560" w:firstLineChars="200"/>
        <w:rPr>
          <w:rFonts w:ascii="仿宋" w:hAnsi="仿宋" w:eastAsia="仿宋"/>
          <w:sz w:val="28"/>
          <w:szCs w:val="28"/>
        </w:rPr>
      </w:pPr>
      <w:r>
        <w:rPr>
          <w:rFonts w:hint="eastAsia" w:ascii="仿宋" w:hAnsi="仿宋" w:eastAsia="仿宋"/>
          <w:sz w:val="28"/>
          <w:szCs w:val="28"/>
        </w:rPr>
        <w:t>5、本评审办法作为本项目择优选定中标方的依据，在评审全过程中应遵照执行，各磋商评审小组成员须严格按照上述办法独立打分。</w:t>
      </w:r>
    </w:p>
    <w:p w14:paraId="703C6929">
      <w:pPr>
        <w:widowControl/>
        <w:spacing w:after="120" w:afterLines="50" w:line="440" w:lineRule="exact"/>
        <w:jc w:val="center"/>
        <w:rPr>
          <w:b/>
          <w:sz w:val="28"/>
          <w:szCs w:val="28"/>
        </w:rPr>
      </w:pPr>
      <w:r>
        <w:rPr>
          <w:b/>
          <w:kern w:val="0"/>
          <w:sz w:val="36"/>
          <w:szCs w:val="36"/>
        </w:rPr>
        <w:br w:type="page"/>
      </w:r>
      <w:r>
        <w:rPr>
          <w:rFonts w:ascii="黑体" w:hAnsi="宋体" w:eastAsia="黑体" w:cs="黑体"/>
          <w:color w:val="000000"/>
          <w:kern w:val="0"/>
          <w:sz w:val="28"/>
          <w:szCs w:val="28"/>
        </w:rPr>
        <w:t>上海对外经贸大学松江</w:t>
      </w:r>
      <w:r>
        <w:rPr>
          <w:rFonts w:hint="eastAsia" w:ascii="黑体" w:hAnsi="宋体" w:eastAsia="黑体" w:cs="黑体"/>
          <w:color w:val="000000"/>
          <w:kern w:val="0"/>
          <w:sz w:val="28"/>
          <w:szCs w:val="28"/>
        </w:rPr>
        <w:t>学生</w:t>
      </w:r>
      <w:r>
        <w:rPr>
          <w:rFonts w:ascii="黑体" w:hAnsi="宋体" w:eastAsia="黑体" w:cs="黑体"/>
          <w:color w:val="000000"/>
          <w:kern w:val="0"/>
          <w:sz w:val="28"/>
          <w:szCs w:val="28"/>
        </w:rPr>
        <w:t>社区</w:t>
      </w:r>
      <w:r>
        <w:rPr>
          <w:rFonts w:hint="eastAsia" w:ascii="黑体" w:hAnsi="宋体" w:eastAsia="黑体" w:cs="黑体"/>
          <w:color w:val="000000"/>
          <w:kern w:val="0"/>
          <w:sz w:val="28"/>
          <w:szCs w:val="28"/>
        </w:rPr>
        <w:t xml:space="preserve">引进第三方电动自行车充电桩 </w:t>
      </w:r>
      <w:r>
        <w:rPr>
          <w:rFonts w:ascii="黑体" w:hAnsi="宋体" w:eastAsia="黑体" w:cs="黑体"/>
          <w:color w:val="000000"/>
          <w:kern w:val="0"/>
          <w:sz w:val="28"/>
          <w:szCs w:val="28"/>
        </w:rPr>
        <w:t xml:space="preserve">   </w:t>
      </w:r>
      <w:r>
        <w:rPr>
          <w:rFonts w:hint="eastAsia" w:ascii="黑体" w:hAnsi="宋体" w:eastAsia="黑体" w:cs="黑体"/>
          <w:color w:val="000000"/>
          <w:kern w:val="0"/>
          <w:sz w:val="28"/>
          <w:szCs w:val="28"/>
        </w:rPr>
        <w:t>服务项目磋商打分表</w:t>
      </w:r>
    </w:p>
    <w:tbl>
      <w:tblPr>
        <w:tblStyle w:val="7"/>
        <w:tblW w:w="8223" w:type="dxa"/>
        <w:tblInd w:w="-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568"/>
        <w:gridCol w:w="1418"/>
        <w:gridCol w:w="709"/>
        <w:gridCol w:w="5528"/>
      </w:tblGrid>
      <w:tr w14:paraId="57EA5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0" w:hRule="atLeast"/>
        </w:trPr>
        <w:tc>
          <w:tcPr>
            <w:tcW w:w="568" w:type="dxa"/>
            <w:tcMar>
              <w:top w:w="135" w:type="dxa"/>
              <w:left w:w="120" w:type="dxa"/>
              <w:bottom w:w="135" w:type="dxa"/>
              <w:right w:w="120" w:type="dxa"/>
            </w:tcMar>
            <w:vAlign w:val="center"/>
          </w:tcPr>
          <w:p w14:paraId="2F0FA79D">
            <w:pPr>
              <w:widowControl/>
              <w:jc w:val="left"/>
              <w:rPr>
                <w:rFonts w:ascii="仿宋" w:hAnsi="仿宋" w:eastAsia="仿宋"/>
              </w:rPr>
            </w:pPr>
            <w:r>
              <w:rPr>
                <w:rFonts w:ascii="仿宋" w:hAnsi="仿宋" w:eastAsia="仿宋"/>
              </w:rPr>
              <w:t>序号</w:t>
            </w:r>
          </w:p>
        </w:tc>
        <w:tc>
          <w:tcPr>
            <w:tcW w:w="1418" w:type="dxa"/>
            <w:tcMar>
              <w:top w:w="135" w:type="dxa"/>
              <w:left w:w="120" w:type="dxa"/>
              <w:bottom w:w="135" w:type="dxa"/>
              <w:right w:w="120" w:type="dxa"/>
            </w:tcMar>
            <w:vAlign w:val="center"/>
          </w:tcPr>
          <w:p w14:paraId="42005BAF">
            <w:pPr>
              <w:jc w:val="left"/>
              <w:rPr>
                <w:rFonts w:ascii="仿宋" w:hAnsi="仿宋" w:eastAsia="仿宋"/>
              </w:rPr>
            </w:pPr>
            <w:r>
              <w:rPr>
                <w:rFonts w:ascii="仿宋" w:hAnsi="仿宋" w:eastAsia="仿宋"/>
              </w:rPr>
              <w:t>评审项目</w:t>
            </w:r>
          </w:p>
        </w:tc>
        <w:tc>
          <w:tcPr>
            <w:tcW w:w="709" w:type="dxa"/>
            <w:tcMar>
              <w:top w:w="135" w:type="dxa"/>
              <w:left w:w="120" w:type="dxa"/>
              <w:bottom w:w="135" w:type="dxa"/>
              <w:right w:w="120" w:type="dxa"/>
            </w:tcMar>
            <w:vAlign w:val="center"/>
          </w:tcPr>
          <w:p w14:paraId="069EDC17">
            <w:pPr>
              <w:jc w:val="left"/>
              <w:rPr>
                <w:rFonts w:ascii="仿宋" w:hAnsi="仿宋" w:eastAsia="仿宋"/>
              </w:rPr>
            </w:pPr>
            <w:r>
              <w:rPr>
                <w:rFonts w:ascii="仿宋" w:hAnsi="仿宋" w:eastAsia="仿宋"/>
              </w:rPr>
              <w:t>最高分值</w:t>
            </w:r>
          </w:p>
        </w:tc>
        <w:tc>
          <w:tcPr>
            <w:tcW w:w="5528" w:type="dxa"/>
            <w:tcMar>
              <w:top w:w="135" w:type="dxa"/>
              <w:left w:w="120" w:type="dxa"/>
              <w:bottom w:w="135" w:type="dxa"/>
              <w:right w:w="120" w:type="dxa"/>
            </w:tcMar>
            <w:vAlign w:val="center"/>
          </w:tcPr>
          <w:p w14:paraId="10772B90">
            <w:pPr>
              <w:jc w:val="center"/>
              <w:rPr>
                <w:rFonts w:ascii="仿宋" w:hAnsi="仿宋" w:eastAsia="仿宋"/>
              </w:rPr>
            </w:pPr>
            <w:r>
              <w:rPr>
                <w:rFonts w:ascii="仿宋" w:hAnsi="仿宋" w:eastAsia="仿宋"/>
              </w:rPr>
              <w:t>评审内容</w:t>
            </w:r>
          </w:p>
        </w:tc>
      </w:tr>
      <w:tr w14:paraId="47877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0" w:hRule="atLeast"/>
        </w:trPr>
        <w:tc>
          <w:tcPr>
            <w:tcW w:w="568" w:type="dxa"/>
            <w:tcMar>
              <w:top w:w="135" w:type="dxa"/>
              <w:left w:w="120" w:type="dxa"/>
              <w:bottom w:w="135" w:type="dxa"/>
              <w:right w:w="120" w:type="dxa"/>
            </w:tcMar>
            <w:vAlign w:val="center"/>
          </w:tcPr>
          <w:p w14:paraId="039B3923">
            <w:pPr>
              <w:jc w:val="center"/>
              <w:rPr>
                <w:rFonts w:ascii="仿宋" w:hAnsi="仿宋" w:eastAsia="仿宋"/>
              </w:rPr>
            </w:pPr>
            <w:r>
              <w:rPr>
                <w:rFonts w:ascii="仿宋" w:hAnsi="仿宋" w:eastAsia="仿宋"/>
              </w:rPr>
              <w:t>1</w:t>
            </w:r>
          </w:p>
        </w:tc>
        <w:tc>
          <w:tcPr>
            <w:tcW w:w="1418" w:type="dxa"/>
            <w:tcMar>
              <w:top w:w="135" w:type="dxa"/>
              <w:left w:w="120" w:type="dxa"/>
              <w:bottom w:w="135" w:type="dxa"/>
              <w:right w:w="120" w:type="dxa"/>
            </w:tcMar>
            <w:vAlign w:val="center"/>
          </w:tcPr>
          <w:p w14:paraId="79615CA0">
            <w:pPr>
              <w:rPr>
                <w:rFonts w:ascii="仿宋" w:hAnsi="仿宋" w:eastAsia="仿宋"/>
              </w:rPr>
            </w:pPr>
            <w:r>
              <w:rPr>
                <w:rFonts w:ascii="仿宋" w:hAnsi="仿宋" w:eastAsia="仿宋"/>
              </w:rPr>
              <w:t>物业服务费报价</w:t>
            </w:r>
          </w:p>
        </w:tc>
        <w:tc>
          <w:tcPr>
            <w:tcW w:w="709" w:type="dxa"/>
            <w:tcMar>
              <w:top w:w="135" w:type="dxa"/>
              <w:left w:w="120" w:type="dxa"/>
              <w:bottom w:w="135" w:type="dxa"/>
              <w:right w:w="120" w:type="dxa"/>
            </w:tcMar>
            <w:vAlign w:val="center"/>
          </w:tcPr>
          <w:p w14:paraId="380F302B">
            <w:pPr>
              <w:jc w:val="center"/>
              <w:rPr>
                <w:rFonts w:ascii="仿宋" w:hAnsi="仿宋" w:eastAsia="仿宋"/>
              </w:rPr>
            </w:pPr>
            <w:r>
              <w:rPr>
                <w:rFonts w:hint="eastAsia" w:ascii="仿宋" w:hAnsi="仿宋" w:eastAsia="仿宋"/>
              </w:rPr>
              <w:t>1</w:t>
            </w:r>
            <w:r>
              <w:rPr>
                <w:rFonts w:ascii="仿宋" w:hAnsi="仿宋" w:eastAsia="仿宋"/>
              </w:rPr>
              <w:t>0</w:t>
            </w:r>
          </w:p>
        </w:tc>
        <w:tc>
          <w:tcPr>
            <w:tcW w:w="5528" w:type="dxa"/>
            <w:tcMar>
              <w:top w:w="135" w:type="dxa"/>
              <w:left w:w="120" w:type="dxa"/>
              <w:bottom w:w="135" w:type="dxa"/>
              <w:right w:w="120" w:type="dxa"/>
            </w:tcMar>
            <w:vAlign w:val="center"/>
          </w:tcPr>
          <w:p w14:paraId="5AFE863D">
            <w:pPr>
              <w:rPr>
                <w:rFonts w:ascii="仿宋" w:hAnsi="仿宋" w:eastAsia="仿宋"/>
              </w:rPr>
            </w:pPr>
            <w:r>
              <w:rPr>
                <w:rFonts w:hint="eastAsia" w:ascii="仿宋" w:hAnsi="仿宋" w:eastAsia="仿宋"/>
              </w:rPr>
              <w:t>满足第二部分第五条关于 “缴纳充电费用的20%作为物业服务费”要求的得10分，不满足0分。</w:t>
            </w:r>
          </w:p>
        </w:tc>
      </w:tr>
      <w:tr w14:paraId="1A146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0" w:hRule="atLeast"/>
        </w:trPr>
        <w:tc>
          <w:tcPr>
            <w:tcW w:w="568" w:type="dxa"/>
            <w:tcMar>
              <w:top w:w="135" w:type="dxa"/>
              <w:left w:w="120" w:type="dxa"/>
              <w:bottom w:w="135" w:type="dxa"/>
              <w:right w:w="120" w:type="dxa"/>
            </w:tcMar>
            <w:vAlign w:val="center"/>
          </w:tcPr>
          <w:p w14:paraId="3EE49DB9">
            <w:pPr>
              <w:jc w:val="center"/>
              <w:rPr>
                <w:rFonts w:ascii="仿宋" w:hAnsi="仿宋" w:eastAsia="仿宋"/>
              </w:rPr>
            </w:pPr>
            <w:r>
              <w:rPr>
                <w:rFonts w:ascii="仿宋" w:hAnsi="仿宋" w:eastAsia="仿宋"/>
              </w:rPr>
              <w:t>2</w:t>
            </w:r>
          </w:p>
        </w:tc>
        <w:tc>
          <w:tcPr>
            <w:tcW w:w="1418" w:type="dxa"/>
            <w:tcMar>
              <w:top w:w="135" w:type="dxa"/>
              <w:left w:w="120" w:type="dxa"/>
              <w:bottom w:w="135" w:type="dxa"/>
              <w:right w:w="120" w:type="dxa"/>
            </w:tcMar>
            <w:vAlign w:val="center"/>
          </w:tcPr>
          <w:p w14:paraId="438104CC">
            <w:pPr>
              <w:rPr>
                <w:rFonts w:ascii="仿宋" w:hAnsi="仿宋" w:eastAsia="仿宋"/>
              </w:rPr>
            </w:pPr>
            <w:r>
              <w:rPr>
                <w:rFonts w:ascii="仿宋" w:hAnsi="仿宋" w:eastAsia="仿宋"/>
              </w:rPr>
              <w:t>企业资质与基础条件</w:t>
            </w:r>
          </w:p>
        </w:tc>
        <w:tc>
          <w:tcPr>
            <w:tcW w:w="709" w:type="dxa"/>
            <w:tcMar>
              <w:top w:w="135" w:type="dxa"/>
              <w:left w:w="120" w:type="dxa"/>
              <w:bottom w:w="135" w:type="dxa"/>
              <w:right w:w="120" w:type="dxa"/>
            </w:tcMar>
            <w:vAlign w:val="center"/>
          </w:tcPr>
          <w:p w14:paraId="347F9BA5">
            <w:pPr>
              <w:jc w:val="center"/>
              <w:rPr>
                <w:rFonts w:ascii="仿宋" w:hAnsi="仿宋" w:eastAsia="仿宋"/>
              </w:rPr>
            </w:pPr>
            <w:r>
              <w:rPr>
                <w:rFonts w:hint="eastAsia" w:ascii="仿宋" w:hAnsi="仿宋" w:eastAsia="仿宋"/>
              </w:rPr>
              <w:t>2</w:t>
            </w:r>
            <w:r>
              <w:rPr>
                <w:rFonts w:ascii="仿宋" w:hAnsi="仿宋" w:eastAsia="仿宋"/>
              </w:rPr>
              <w:t>0</w:t>
            </w:r>
          </w:p>
        </w:tc>
        <w:tc>
          <w:tcPr>
            <w:tcW w:w="5528" w:type="dxa"/>
            <w:tcMar>
              <w:top w:w="135" w:type="dxa"/>
              <w:left w:w="120" w:type="dxa"/>
              <w:bottom w:w="135" w:type="dxa"/>
              <w:right w:w="120" w:type="dxa"/>
            </w:tcMar>
            <w:vAlign w:val="center"/>
          </w:tcPr>
          <w:p w14:paraId="6DDCCB05">
            <w:pPr>
              <w:rPr>
                <w:rFonts w:ascii="仿宋" w:hAnsi="仿宋" w:eastAsia="仿宋"/>
              </w:rPr>
            </w:pPr>
            <w:r>
              <w:rPr>
                <w:rFonts w:hint="eastAsia" w:ascii="仿宋" w:hAnsi="仿宋" w:eastAsia="仿宋"/>
              </w:rPr>
              <w:t>具有独立企业法人资格及相应的经营范围</w:t>
            </w:r>
            <w:r>
              <w:rPr>
                <w:rFonts w:ascii="仿宋" w:hAnsi="仿宋" w:eastAsia="仿宋"/>
              </w:rPr>
              <w:t>（</w:t>
            </w:r>
            <w:r>
              <w:rPr>
                <w:rFonts w:hint="eastAsia" w:ascii="仿宋" w:hAnsi="仿宋" w:eastAsia="仿宋"/>
              </w:rPr>
              <w:t>提供</w:t>
            </w:r>
            <w:r>
              <w:rPr>
                <w:rFonts w:ascii="仿宋" w:hAnsi="仿宋" w:eastAsia="仿宋"/>
              </w:rPr>
              <w:t>营业执照</w:t>
            </w:r>
            <w:r>
              <w:rPr>
                <w:rFonts w:hint="eastAsia" w:ascii="仿宋" w:hAnsi="仿宋" w:eastAsia="仿宋"/>
              </w:rPr>
              <w:t>复印件</w:t>
            </w:r>
            <w:r>
              <w:rPr>
                <w:rFonts w:ascii="仿宋" w:hAnsi="仿宋" w:eastAsia="仿宋"/>
              </w:rPr>
              <w:t xml:space="preserve">）得 </w:t>
            </w:r>
            <w:r>
              <w:rPr>
                <w:rFonts w:hint="eastAsia" w:ascii="仿宋" w:hAnsi="仿宋" w:eastAsia="仿宋"/>
              </w:rPr>
              <w:t>10</w:t>
            </w:r>
            <w:r>
              <w:rPr>
                <w:rFonts w:ascii="仿宋" w:hAnsi="仿宋" w:eastAsia="仿宋"/>
              </w:rPr>
              <w:t>分；近 3 年承接过同类充电桩项目</w:t>
            </w:r>
            <w:r>
              <w:rPr>
                <w:rFonts w:hint="eastAsia" w:ascii="仿宋" w:hAnsi="仿宋" w:eastAsia="仿宋"/>
              </w:rPr>
              <w:t>（提交合同复印件）</w:t>
            </w:r>
            <w:r>
              <w:rPr>
                <w:rFonts w:ascii="仿宋" w:hAnsi="仿宋" w:eastAsia="仿宋"/>
              </w:rPr>
              <w:t xml:space="preserve">，每个项目得 </w:t>
            </w:r>
            <w:r>
              <w:rPr>
                <w:rFonts w:hint="eastAsia" w:ascii="仿宋" w:hAnsi="仿宋" w:eastAsia="仿宋"/>
              </w:rPr>
              <w:t>2</w:t>
            </w:r>
            <w:r>
              <w:rPr>
                <w:rFonts w:ascii="仿宋" w:hAnsi="仿宋" w:eastAsia="仿宋"/>
              </w:rPr>
              <w:t>分，最高</w:t>
            </w:r>
            <w:r>
              <w:rPr>
                <w:rFonts w:hint="eastAsia" w:ascii="仿宋" w:hAnsi="仿宋" w:eastAsia="仿宋"/>
              </w:rPr>
              <w:t>10</w:t>
            </w:r>
            <w:r>
              <w:rPr>
                <w:rFonts w:ascii="仿宋" w:hAnsi="仿宋" w:eastAsia="仿宋"/>
              </w:rPr>
              <w:t>分</w:t>
            </w:r>
            <w:r>
              <w:rPr>
                <w:rFonts w:hint="eastAsia" w:ascii="仿宋" w:hAnsi="仿宋" w:eastAsia="仿宋"/>
              </w:rPr>
              <w:t>。</w:t>
            </w:r>
          </w:p>
        </w:tc>
      </w:tr>
      <w:tr w14:paraId="3858B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0" w:hRule="atLeast"/>
        </w:trPr>
        <w:tc>
          <w:tcPr>
            <w:tcW w:w="568" w:type="dxa"/>
            <w:tcMar>
              <w:top w:w="135" w:type="dxa"/>
              <w:left w:w="120" w:type="dxa"/>
              <w:bottom w:w="135" w:type="dxa"/>
              <w:right w:w="120" w:type="dxa"/>
            </w:tcMar>
            <w:vAlign w:val="center"/>
          </w:tcPr>
          <w:p w14:paraId="4DD788BD">
            <w:pPr>
              <w:jc w:val="center"/>
              <w:rPr>
                <w:rFonts w:ascii="仿宋" w:hAnsi="仿宋" w:eastAsia="仿宋"/>
              </w:rPr>
            </w:pPr>
            <w:r>
              <w:rPr>
                <w:rFonts w:ascii="仿宋" w:hAnsi="仿宋" w:eastAsia="仿宋"/>
              </w:rPr>
              <w:t>3</w:t>
            </w:r>
          </w:p>
        </w:tc>
        <w:tc>
          <w:tcPr>
            <w:tcW w:w="1418" w:type="dxa"/>
            <w:tcMar>
              <w:top w:w="135" w:type="dxa"/>
              <w:left w:w="120" w:type="dxa"/>
              <w:bottom w:w="135" w:type="dxa"/>
              <w:right w:w="120" w:type="dxa"/>
            </w:tcMar>
            <w:vAlign w:val="center"/>
          </w:tcPr>
          <w:p w14:paraId="41D5CDDA">
            <w:pPr>
              <w:rPr>
                <w:rFonts w:ascii="仿宋" w:hAnsi="仿宋" w:eastAsia="仿宋"/>
              </w:rPr>
            </w:pPr>
            <w:r>
              <w:rPr>
                <w:rFonts w:ascii="仿宋" w:hAnsi="仿宋" w:eastAsia="仿宋"/>
              </w:rPr>
              <w:t>充电桩设备品质</w:t>
            </w:r>
          </w:p>
        </w:tc>
        <w:tc>
          <w:tcPr>
            <w:tcW w:w="709" w:type="dxa"/>
            <w:tcMar>
              <w:top w:w="135" w:type="dxa"/>
              <w:left w:w="120" w:type="dxa"/>
              <w:bottom w:w="135" w:type="dxa"/>
              <w:right w:w="120" w:type="dxa"/>
            </w:tcMar>
            <w:vAlign w:val="center"/>
          </w:tcPr>
          <w:p w14:paraId="1C99F7FA">
            <w:pPr>
              <w:jc w:val="center"/>
              <w:rPr>
                <w:rFonts w:ascii="仿宋" w:hAnsi="仿宋" w:eastAsia="仿宋"/>
              </w:rPr>
            </w:pPr>
            <w:r>
              <w:rPr>
                <w:rFonts w:ascii="仿宋" w:hAnsi="仿宋" w:eastAsia="仿宋"/>
              </w:rPr>
              <w:t>10</w:t>
            </w:r>
          </w:p>
        </w:tc>
        <w:tc>
          <w:tcPr>
            <w:tcW w:w="5528" w:type="dxa"/>
            <w:tcMar>
              <w:top w:w="135" w:type="dxa"/>
              <w:left w:w="120" w:type="dxa"/>
              <w:bottom w:w="135" w:type="dxa"/>
              <w:right w:w="120" w:type="dxa"/>
            </w:tcMar>
            <w:vAlign w:val="center"/>
          </w:tcPr>
          <w:p w14:paraId="78C3483C">
            <w:pPr>
              <w:rPr>
                <w:rFonts w:ascii="仿宋" w:hAnsi="仿宋" w:eastAsia="仿宋"/>
              </w:rPr>
            </w:pPr>
            <w:r>
              <w:rPr>
                <w:rFonts w:ascii="仿宋" w:hAnsi="仿宋" w:eastAsia="仿宋"/>
              </w:rPr>
              <w:t>设备符合</w:t>
            </w:r>
            <w:r>
              <w:rPr>
                <w:rFonts w:hint="eastAsia" w:ascii="仿宋" w:hAnsi="仿宋" w:eastAsia="仿宋"/>
              </w:rPr>
              <w:t>上海市安全生产委员会企业推荐企业品牌名单（2025年2月）得10分，其他得0-5分。</w:t>
            </w:r>
          </w:p>
        </w:tc>
      </w:tr>
      <w:tr w14:paraId="27D3E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0" w:hRule="atLeast"/>
        </w:trPr>
        <w:tc>
          <w:tcPr>
            <w:tcW w:w="568" w:type="dxa"/>
            <w:tcMar>
              <w:top w:w="135" w:type="dxa"/>
              <w:left w:w="120" w:type="dxa"/>
              <w:bottom w:w="135" w:type="dxa"/>
              <w:right w:w="120" w:type="dxa"/>
            </w:tcMar>
            <w:vAlign w:val="center"/>
          </w:tcPr>
          <w:p w14:paraId="6EE45F25">
            <w:pPr>
              <w:jc w:val="center"/>
              <w:rPr>
                <w:rFonts w:ascii="仿宋" w:hAnsi="仿宋" w:eastAsia="仿宋"/>
              </w:rPr>
            </w:pPr>
            <w:r>
              <w:rPr>
                <w:rFonts w:hint="eastAsia" w:ascii="仿宋" w:hAnsi="仿宋" w:eastAsia="仿宋"/>
              </w:rPr>
              <w:t>4</w:t>
            </w:r>
          </w:p>
        </w:tc>
        <w:tc>
          <w:tcPr>
            <w:tcW w:w="1418" w:type="dxa"/>
            <w:tcMar>
              <w:top w:w="135" w:type="dxa"/>
              <w:left w:w="120" w:type="dxa"/>
              <w:bottom w:w="135" w:type="dxa"/>
              <w:right w:w="120" w:type="dxa"/>
            </w:tcMar>
            <w:vAlign w:val="center"/>
          </w:tcPr>
          <w:p w14:paraId="31800727">
            <w:pPr>
              <w:rPr>
                <w:rFonts w:ascii="仿宋" w:hAnsi="仿宋" w:eastAsia="仿宋"/>
              </w:rPr>
            </w:pPr>
            <w:r>
              <w:rPr>
                <w:rFonts w:ascii="仿宋" w:hAnsi="仿宋" w:eastAsia="仿宋"/>
              </w:rPr>
              <w:t>系统功能特性</w:t>
            </w:r>
          </w:p>
        </w:tc>
        <w:tc>
          <w:tcPr>
            <w:tcW w:w="709" w:type="dxa"/>
            <w:tcMar>
              <w:top w:w="135" w:type="dxa"/>
              <w:left w:w="120" w:type="dxa"/>
              <w:bottom w:w="135" w:type="dxa"/>
              <w:right w:w="120" w:type="dxa"/>
            </w:tcMar>
            <w:vAlign w:val="center"/>
          </w:tcPr>
          <w:p w14:paraId="1CC95AF0">
            <w:pPr>
              <w:jc w:val="center"/>
              <w:rPr>
                <w:rFonts w:ascii="仿宋" w:hAnsi="仿宋" w:eastAsia="仿宋"/>
              </w:rPr>
            </w:pPr>
            <w:r>
              <w:rPr>
                <w:rFonts w:ascii="仿宋" w:hAnsi="仿宋" w:eastAsia="仿宋"/>
              </w:rPr>
              <w:t>10</w:t>
            </w:r>
          </w:p>
        </w:tc>
        <w:tc>
          <w:tcPr>
            <w:tcW w:w="5528" w:type="dxa"/>
            <w:tcMar>
              <w:top w:w="135" w:type="dxa"/>
              <w:left w:w="120" w:type="dxa"/>
              <w:bottom w:w="135" w:type="dxa"/>
              <w:right w:w="120" w:type="dxa"/>
            </w:tcMar>
            <w:vAlign w:val="center"/>
          </w:tcPr>
          <w:p w14:paraId="35544EFA">
            <w:pPr>
              <w:rPr>
                <w:rFonts w:ascii="仿宋" w:hAnsi="仿宋" w:eastAsia="仿宋"/>
              </w:rPr>
            </w:pPr>
            <w:r>
              <w:rPr>
                <w:rFonts w:ascii="仿宋" w:hAnsi="仿宋" w:eastAsia="仿宋"/>
              </w:rPr>
              <w:t>支持扫码支付</w:t>
            </w:r>
            <w:r>
              <w:rPr>
                <w:rFonts w:hint="eastAsia" w:ascii="仿宋" w:hAnsi="仿宋" w:eastAsia="仿宋"/>
              </w:rPr>
              <w:t>（微信</w:t>
            </w:r>
            <w:r>
              <w:rPr>
                <w:rFonts w:ascii="仿宋" w:hAnsi="仿宋" w:eastAsia="仿宋"/>
              </w:rPr>
              <w:t>、</w:t>
            </w:r>
            <w:r>
              <w:rPr>
                <w:rFonts w:hint="eastAsia" w:ascii="仿宋" w:hAnsi="仿宋" w:eastAsia="仿宋"/>
              </w:rPr>
              <w:t>支付宝）</w:t>
            </w:r>
            <w:r>
              <w:rPr>
                <w:rFonts w:ascii="仿宋" w:hAnsi="仿宋" w:eastAsia="仿宋"/>
              </w:rPr>
              <w:t>、远程监控等功能及平台开放承诺等，每项 1 分，最高 5 分；系统兼容性强，能与多种平台或设备稳定对接，得 5 分。</w:t>
            </w:r>
          </w:p>
        </w:tc>
      </w:tr>
      <w:tr w14:paraId="5DA01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0" w:hRule="atLeast"/>
        </w:trPr>
        <w:tc>
          <w:tcPr>
            <w:tcW w:w="568" w:type="dxa"/>
            <w:tcMar>
              <w:top w:w="135" w:type="dxa"/>
              <w:left w:w="120" w:type="dxa"/>
              <w:bottom w:w="135" w:type="dxa"/>
              <w:right w:w="120" w:type="dxa"/>
            </w:tcMar>
            <w:vAlign w:val="center"/>
          </w:tcPr>
          <w:p w14:paraId="6FFFF0D5">
            <w:pPr>
              <w:jc w:val="center"/>
              <w:rPr>
                <w:rFonts w:ascii="仿宋" w:hAnsi="仿宋" w:eastAsia="仿宋"/>
              </w:rPr>
            </w:pPr>
            <w:r>
              <w:rPr>
                <w:rFonts w:ascii="仿宋" w:hAnsi="仿宋" w:eastAsia="仿宋"/>
              </w:rPr>
              <w:t>5</w:t>
            </w:r>
          </w:p>
        </w:tc>
        <w:tc>
          <w:tcPr>
            <w:tcW w:w="1418" w:type="dxa"/>
            <w:tcMar>
              <w:top w:w="135" w:type="dxa"/>
              <w:left w:w="120" w:type="dxa"/>
              <w:bottom w:w="135" w:type="dxa"/>
              <w:right w:w="120" w:type="dxa"/>
            </w:tcMar>
            <w:vAlign w:val="center"/>
          </w:tcPr>
          <w:p w14:paraId="07621E25">
            <w:pPr>
              <w:rPr>
                <w:rFonts w:ascii="仿宋" w:hAnsi="仿宋" w:eastAsia="仿宋"/>
              </w:rPr>
            </w:pPr>
            <w:r>
              <w:rPr>
                <w:rFonts w:ascii="仿宋" w:hAnsi="仿宋" w:eastAsia="仿宋"/>
              </w:rPr>
              <w:t>方案及规划</w:t>
            </w:r>
          </w:p>
        </w:tc>
        <w:tc>
          <w:tcPr>
            <w:tcW w:w="709" w:type="dxa"/>
            <w:tcMar>
              <w:top w:w="135" w:type="dxa"/>
              <w:left w:w="120" w:type="dxa"/>
              <w:bottom w:w="135" w:type="dxa"/>
              <w:right w:w="120" w:type="dxa"/>
            </w:tcMar>
            <w:vAlign w:val="center"/>
          </w:tcPr>
          <w:p w14:paraId="6B24733D">
            <w:pPr>
              <w:jc w:val="center"/>
              <w:rPr>
                <w:rFonts w:ascii="仿宋" w:hAnsi="仿宋" w:eastAsia="仿宋"/>
              </w:rPr>
            </w:pPr>
            <w:r>
              <w:rPr>
                <w:rFonts w:ascii="仿宋" w:hAnsi="仿宋" w:eastAsia="仿宋"/>
              </w:rPr>
              <w:t>10</w:t>
            </w:r>
          </w:p>
        </w:tc>
        <w:tc>
          <w:tcPr>
            <w:tcW w:w="5528" w:type="dxa"/>
            <w:tcMar>
              <w:top w:w="135" w:type="dxa"/>
              <w:left w:w="120" w:type="dxa"/>
              <w:bottom w:w="135" w:type="dxa"/>
              <w:right w:w="120" w:type="dxa"/>
            </w:tcMar>
            <w:vAlign w:val="center"/>
          </w:tcPr>
          <w:p w14:paraId="0B3C6842">
            <w:pPr>
              <w:rPr>
                <w:rFonts w:ascii="仿宋" w:hAnsi="仿宋" w:eastAsia="仿宋"/>
              </w:rPr>
            </w:pPr>
            <w:r>
              <w:rPr>
                <w:rFonts w:hint="eastAsia" w:ascii="仿宋" w:hAnsi="仿宋" w:eastAsia="仿宋"/>
              </w:rPr>
              <w:t>安装方案符合规范要求，</w:t>
            </w:r>
            <w:r>
              <w:rPr>
                <w:rFonts w:ascii="仿宋" w:hAnsi="仿宋" w:eastAsia="仿宋"/>
              </w:rPr>
              <w:t>安装流程清晰，包含场地勘察、施工计划等，得 5 分；安装方案充分考虑现场环境，具备可行性</w:t>
            </w:r>
            <w:r>
              <w:rPr>
                <w:rFonts w:hint="eastAsia" w:ascii="仿宋" w:hAnsi="仿宋" w:eastAsia="仿宋"/>
              </w:rPr>
              <w:t>、</w:t>
            </w:r>
            <w:r>
              <w:rPr>
                <w:rFonts w:ascii="仿宋" w:hAnsi="仿宋" w:eastAsia="仿宋"/>
              </w:rPr>
              <w:t>合理性</w:t>
            </w:r>
            <w:r>
              <w:rPr>
                <w:rFonts w:hint="eastAsia" w:ascii="仿宋" w:hAnsi="仿宋" w:eastAsia="仿宋"/>
              </w:rPr>
              <w:t>与安全性</w:t>
            </w:r>
            <w:r>
              <w:rPr>
                <w:rFonts w:ascii="仿宋" w:hAnsi="仿宋" w:eastAsia="仿宋"/>
              </w:rPr>
              <w:t>，得 5 分。</w:t>
            </w:r>
          </w:p>
        </w:tc>
      </w:tr>
      <w:tr w14:paraId="02159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0" w:hRule="atLeast"/>
        </w:trPr>
        <w:tc>
          <w:tcPr>
            <w:tcW w:w="568" w:type="dxa"/>
            <w:tcMar>
              <w:top w:w="135" w:type="dxa"/>
              <w:left w:w="120" w:type="dxa"/>
              <w:bottom w:w="135" w:type="dxa"/>
              <w:right w:w="120" w:type="dxa"/>
            </w:tcMar>
            <w:vAlign w:val="center"/>
          </w:tcPr>
          <w:p w14:paraId="580ADE39">
            <w:pPr>
              <w:jc w:val="center"/>
              <w:rPr>
                <w:rFonts w:ascii="仿宋" w:hAnsi="仿宋" w:eastAsia="仿宋"/>
              </w:rPr>
            </w:pPr>
            <w:r>
              <w:rPr>
                <w:rFonts w:ascii="仿宋" w:hAnsi="仿宋" w:eastAsia="仿宋"/>
              </w:rPr>
              <w:t>6</w:t>
            </w:r>
          </w:p>
        </w:tc>
        <w:tc>
          <w:tcPr>
            <w:tcW w:w="1418" w:type="dxa"/>
            <w:tcMar>
              <w:top w:w="135" w:type="dxa"/>
              <w:left w:w="120" w:type="dxa"/>
              <w:bottom w:w="135" w:type="dxa"/>
              <w:right w:w="120" w:type="dxa"/>
            </w:tcMar>
            <w:vAlign w:val="center"/>
          </w:tcPr>
          <w:p w14:paraId="4AB43DFD">
            <w:pPr>
              <w:rPr>
                <w:rFonts w:ascii="仿宋" w:hAnsi="仿宋" w:eastAsia="仿宋"/>
              </w:rPr>
            </w:pPr>
            <w:r>
              <w:rPr>
                <w:rFonts w:hint="eastAsia" w:ascii="仿宋" w:hAnsi="仿宋" w:eastAsia="仿宋"/>
              </w:rPr>
              <w:t>安全保障措施</w:t>
            </w:r>
          </w:p>
        </w:tc>
        <w:tc>
          <w:tcPr>
            <w:tcW w:w="709" w:type="dxa"/>
            <w:tcMar>
              <w:top w:w="135" w:type="dxa"/>
              <w:left w:w="120" w:type="dxa"/>
              <w:bottom w:w="135" w:type="dxa"/>
              <w:right w:w="120" w:type="dxa"/>
            </w:tcMar>
            <w:vAlign w:val="center"/>
          </w:tcPr>
          <w:p w14:paraId="5FDCF487">
            <w:pPr>
              <w:jc w:val="center"/>
              <w:rPr>
                <w:rFonts w:ascii="仿宋" w:hAnsi="仿宋" w:eastAsia="仿宋"/>
              </w:rPr>
            </w:pPr>
            <w:r>
              <w:rPr>
                <w:rFonts w:ascii="仿宋" w:hAnsi="仿宋" w:eastAsia="仿宋"/>
              </w:rPr>
              <w:t>5</w:t>
            </w:r>
          </w:p>
        </w:tc>
        <w:tc>
          <w:tcPr>
            <w:tcW w:w="5528" w:type="dxa"/>
            <w:tcMar>
              <w:top w:w="135" w:type="dxa"/>
              <w:left w:w="120" w:type="dxa"/>
              <w:bottom w:w="135" w:type="dxa"/>
              <w:right w:w="120" w:type="dxa"/>
            </w:tcMar>
            <w:vAlign w:val="center"/>
          </w:tcPr>
          <w:p w14:paraId="42EE96DF">
            <w:pPr>
              <w:rPr>
                <w:rFonts w:ascii="仿宋" w:hAnsi="仿宋" w:eastAsia="仿宋"/>
              </w:rPr>
            </w:pPr>
            <w:r>
              <w:rPr>
                <w:rFonts w:hint="eastAsia" w:ascii="仿宋" w:hAnsi="仿宋" w:eastAsia="仿宋"/>
              </w:rPr>
              <w:t>电动自行车充电桩要保证电气安全</w:t>
            </w:r>
            <w:r>
              <w:rPr>
                <w:rFonts w:ascii="仿宋" w:hAnsi="仿宋" w:eastAsia="仿宋"/>
              </w:rPr>
              <w:t>、</w:t>
            </w:r>
            <w:r>
              <w:rPr>
                <w:rFonts w:hint="eastAsia" w:ascii="仿宋" w:hAnsi="仿宋" w:eastAsia="仿宋"/>
              </w:rPr>
              <w:t>结构防护</w:t>
            </w:r>
            <w:r>
              <w:rPr>
                <w:rFonts w:ascii="仿宋" w:hAnsi="仿宋" w:eastAsia="仿宋"/>
              </w:rPr>
              <w:t>、</w:t>
            </w:r>
            <w:r>
              <w:rPr>
                <w:rFonts w:hint="eastAsia" w:ascii="仿宋" w:hAnsi="仿宋" w:eastAsia="仿宋"/>
              </w:rPr>
              <w:t>智能管理</w:t>
            </w:r>
            <w:r>
              <w:rPr>
                <w:rFonts w:ascii="仿宋" w:hAnsi="仿宋" w:eastAsia="仿宋"/>
              </w:rPr>
              <w:t>、</w:t>
            </w:r>
            <w:r>
              <w:rPr>
                <w:rFonts w:hint="eastAsia" w:ascii="仿宋" w:hAnsi="仿宋" w:eastAsia="仿宋"/>
              </w:rPr>
              <w:t>消防应急</w:t>
            </w:r>
            <w:r>
              <w:rPr>
                <w:rFonts w:ascii="仿宋" w:hAnsi="仿宋" w:eastAsia="仿宋"/>
              </w:rPr>
              <w:t>、</w:t>
            </w:r>
            <w:r>
              <w:rPr>
                <w:rFonts w:hint="eastAsia" w:ascii="仿宋" w:hAnsi="仿宋" w:eastAsia="仿宋"/>
              </w:rPr>
              <w:t>合规认证的要求，每项具体举措得1分，共</w:t>
            </w:r>
            <w:r>
              <w:rPr>
                <w:rFonts w:ascii="仿宋" w:hAnsi="仿宋" w:eastAsia="仿宋"/>
              </w:rPr>
              <w:t xml:space="preserve"> 5 分。</w:t>
            </w:r>
          </w:p>
        </w:tc>
      </w:tr>
      <w:tr w14:paraId="0B3C0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0" w:hRule="atLeast"/>
        </w:trPr>
        <w:tc>
          <w:tcPr>
            <w:tcW w:w="568" w:type="dxa"/>
            <w:tcMar>
              <w:top w:w="135" w:type="dxa"/>
              <w:left w:w="120" w:type="dxa"/>
              <w:bottom w:w="135" w:type="dxa"/>
              <w:right w:w="120" w:type="dxa"/>
            </w:tcMar>
            <w:vAlign w:val="center"/>
          </w:tcPr>
          <w:p w14:paraId="443E0703">
            <w:pPr>
              <w:jc w:val="center"/>
              <w:rPr>
                <w:rFonts w:ascii="仿宋" w:hAnsi="仿宋" w:eastAsia="仿宋"/>
              </w:rPr>
            </w:pPr>
            <w:r>
              <w:rPr>
                <w:rFonts w:ascii="仿宋" w:hAnsi="仿宋" w:eastAsia="仿宋"/>
              </w:rPr>
              <w:t>7</w:t>
            </w:r>
          </w:p>
        </w:tc>
        <w:tc>
          <w:tcPr>
            <w:tcW w:w="1418" w:type="dxa"/>
            <w:tcMar>
              <w:top w:w="135" w:type="dxa"/>
              <w:left w:w="120" w:type="dxa"/>
              <w:bottom w:w="135" w:type="dxa"/>
              <w:right w:w="120" w:type="dxa"/>
            </w:tcMar>
            <w:vAlign w:val="center"/>
          </w:tcPr>
          <w:p w14:paraId="57553210">
            <w:pPr>
              <w:rPr>
                <w:rFonts w:ascii="仿宋" w:hAnsi="仿宋" w:eastAsia="仿宋"/>
              </w:rPr>
            </w:pPr>
            <w:r>
              <w:rPr>
                <w:rFonts w:ascii="仿宋" w:hAnsi="仿宋" w:eastAsia="仿宋"/>
              </w:rPr>
              <w:t>服务响应与承诺</w:t>
            </w:r>
          </w:p>
        </w:tc>
        <w:tc>
          <w:tcPr>
            <w:tcW w:w="709" w:type="dxa"/>
            <w:tcMar>
              <w:top w:w="135" w:type="dxa"/>
              <w:left w:w="120" w:type="dxa"/>
              <w:bottom w:w="135" w:type="dxa"/>
              <w:right w:w="120" w:type="dxa"/>
            </w:tcMar>
            <w:vAlign w:val="center"/>
          </w:tcPr>
          <w:p w14:paraId="52F4D8FD">
            <w:pPr>
              <w:jc w:val="center"/>
              <w:rPr>
                <w:rFonts w:ascii="仿宋" w:hAnsi="仿宋" w:eastAsia="仿宋"/>
              </w:rPr>
            </w:pPr>
            <w:r>
              <w:rPr>
                <w:rFonts w:ascii="仿宋" w:hAnsi="仿宋" w:eastAsia="仿宋"/>
              </w:rPr>
              <w:t>10</w:t>
            </w:r>
          </w:p>
        </w:tc>
        <w:tc>
          <w:tcPr>
            <w:tcW w:w="5528" w:type="dxa"/>
            <w:tcMar>
              <w:top w:w="135" w:type="dxa"/>
              <w:left w:w="120" w:type="dxa"/>
              <w:bottom w:w="135" w:type="dxa"/>
              <w:right w:w="120" w:type="dxa"/>
            </w:tcMar>
            <w:vAlign w:val="center"/>
          </w:tcPr>
          <w:p w14:paraId="03259372">
            <w:pPr>
              <w:rPr>
                <w:rFonts w:ascii="仿宋" w:hAnsi="仿宋" w:eastAsia="仿宋"/>
              </w:rPr>
            </w:pPr>
            <w:r>
              <w:rPr>
                <w:rFonts w:ascii="仿宋" w:hAnsi="仿宋" w:eastAsia="仿宋"/>
              </w:rPr>
              <w:t>24小时响应机制（提供方案），提供 7×24 小时技术支持热线，得 5 分；服务承诺清晰明确，具备可操作性，得 5 分。</w:t>
            </w:r>
          </w:p>
        </w:tc>
      </w:tr>
      <w:tr w14:paraId="4477C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0" w:hRule="atLeast"/>
        </w:trPr>
        <w:tc>
          <w:tcPr>
            <w:tcW w:w="568" w:type="dxa"/>
            <w:tcMar>
              <w:top w:w="135" w:type="dxa"/>
              <w:left w:w="120" w:type="dxa"/>
              <w:bottom w:w="135" w:type="dxa"/>
              <w:right w:w="120" w:type="dxa"/>
            </w:tcMar>
            <w:vAlign w:val="center"/>
          </w:tcPr>
          <w:p w14:paraId="075384E5">
            <w:pPr>
              <w:jc w:val="center"/>
              <w:rPr>
                <w:rFonts w:ascii="仿宋" w:hAnsi="仿宋" w:eastAsia="仿宋"/>
              </w:rPr>
            </w:pPr>
            <w:r>
              <w:rPr>
                <w:rFonts w:ascii="仿宋" w:hAnsi="仿宋" w:eastAsia="仿宋"/>
              </w:rPr>
              <w:t>8</w:t>
            </w:r>
          </w:p>
        </w:tc>
        <w:tc>
          <w:tcPr>
            <w:tcW w:w="1418" w:type="dxa"/>
            <w:tcMar>
              <w:top w:w="135" w:type="dxa"/>
              <w:left w:w="120" w:type="dxa"/>
              <w:bottom w:w="135" w:type="dxa"/>
              <w:right w:w="120" w:type="dxa"/>
            </w:tcMar>
            <w:vAlign w:val="center"/>
          </w:tcPr>
          <w:p w14:paraId="743AD378">
            <w:pPr>
              <w:rPr>
                <w:rFonts w:ascii="仿宋" w:hAnsi="仿宋" w:eastAsia="仿宋"/>
              </w:rPr>
            </w:pPr>
            <w:r>
              <w:rPr>
                <w:rFonts w:ascii="仿宋" w:hAnsi="仿宋" w:eastAsia="仿宋"/>
              </w:rPr>
              <w:t>服务团队专业能力</w:t>
            </w:r>
          </w:p>
        </w:tc>
        <w:tc>
          <w:tcPr>
            <w:tcW w:w="709" w:type="dxa"/>
            <w:tcMar>
              <w:top w:w="135" w:type="dxa"/>
              <w:left w:w="120" w:type="dxa"/>
              <w:bottom w:w="135" w:type="dxa"/>
              <w:right w:w="120" w:type="dxa"/>
            </w:tcMar>
            <w:vAlign w:val="center"/>
          </w:tcPr>
          <w:p w14:paraId="7DFF1A32">
            <w:pPr>
              <w:jc w:val="center"/>
              <w:rPr>
                <w:rFonts w:ascii="仿宋" w:hAnsi="仿宋" w:eastAsia="仿宋"/>
              </w:rPr>
            </w:pPr>
            <w:r>
              <w:rPr>
                <w:rFonts w:ascii="仿宋" w:hAnsi="仿宋" w:eastAsia="仿宋"/>
              </w:rPr>
              <w:t>10</w:t>
            </w:r>
          </w:p>
        </w:tc>
        <w:tc>
          <w:tcPr>
            <w:tcW w:w="5528" w:type="dxa"/>
            <w:tcMar>
              <w:top w:w="135" w:type="dxa"/>
              <w:left w:w="120" w:type="dxa"/>
              <w:bottom w:w="135" w:type="dxa"/>
              <w:right w:w="120" w:type="dxa"/>
            </w:tcMar>
            <w:vAlign w:val="center"/>
          </w:tcPr>
          <w:p w14:paraId="490BDFFE">
            <w:pPr>
              <w:rPr>
                <w:rFonts w:ascii="仿宋" w:hAnsi="仿宋" w:eastAsia="仿宋"/>
              </w:rPr>
            </w:pPr>
            <w:r>
              <w:rPr>
                <w:rFonts w:ascii="仿宋" w:hAnsi="仿宋" w:eastAsia="仿宋"/>
              </w:rPr>
              <w:t>技术团队专业资质（电工、运维人员证书），每提供 1 人得 1 分，最高 5分；团队组织架构合理，分工明确，得 5 分。</w:t>
            </w:r>
          </w:p>
        </w:tc>
      </w:tr>
      <w:tr w14:paraId="4690A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0" w:hRule="atLeast"/>
        </w:trPr>
        <w:tc>
          <w:tcPr>
            <w:tcW w:w="568" w:type="dxa"/>
            <w:tcMar>
              <w:top w:w="135" w:type="dxa"/>
              <w:left w:w="120" w:type="dxa"/>
              <w:bottom w:w="135" w:type="dxa"/>
              <w:right w:w="120" w:type="dxa"/>
            </w:tcMar>
            <w:vAlign w:val="center"/>
          </w:tcPr>
          <w:p w14:paraId="59757335">
            <w:pPr>
              <w:jc w:val="center"/>
              <w:rPr>
                <w:rFonts w:ascii="仿宋" w:hAnsi="仿宋" w:eastAsia="仿宋"/>
              </w:rPr>
            </w:pPr>
            <w:r>
              <w:rPr>
                <w:rFonts w:ascii="仿宋" w:hAnsi="仿宋" w:eastAsia="仿宋"/>
              </w:rPr>
              <w:t>9</w:t>
            </w:r>
          </w:p>
        </w:tc>
        <w:tc>
          <w:tcPr>
            <w:tcW w:w="1418" w:type="dxa"/>
            <w:tcMar>
              <w:top w:w="135" w:type="dxa"/>
              <w:left w:w="120" w:type="dxa"/>
              <w:bottom w:w="135" w:type="dxa"/>
              <w:right w:w="120" w:type="dxa"/>
            </w:tcMar>
            <w:vAlign w:val="center"/>
          </w:tcPr>
          <w:p w14:paraId="746C4A0B">
            <w:pPr>
              <w:rPr>
                <w:rFonts w:ascii="仿宋" w:hAnsi="仿宋" w:eastAsia="仿宋"/>
              </w:rPr>
            </w:pPr>
            <w:r>
              <w:rPr>
                <w:rFonts w:hint="eastAsia" w:ascii="仿宋" w:hAnsi="仿宋" w:eastAsia="仿宋"/>
              </w:rPr>
              <w:t>安全</w:t>
            </w:r>
            <w:r>
              <w:rPr>
                <w:rFonts w:ascii="仿宋" w:hAnsi="仿宋" w:eastAsia="仿宋"/>
              </w:rPr>
              <w:t>应急保障与技术支持</w:t>
            </w:r>
          </w:p>
        </w:tc>
        <w:tc>
          <w:tcPr>
            <w:tcW w:w="709" w:type="dxa"/>
            <w:tcMar>
              <w:top w:w="135" w:type="dxa"/>
              <w:left w:w="120" w:type="dxa"/>
              <w:bottom w:w="135" w:type="dxa"/>
              <w:right w:w="120" w:type="dxa"/>
            </w:tcMar>
            <w:vAlign w:val="center"/>
          </w:tcPr>
          <w:p w14:paraId="44347069">
            <w:pPr>
              <w:jc w:val="center"/>
              <w:rPr>
                <w:rFonts w:ascii="仿宋" w:hAnsi="仿宋" w:eastAsia="仿宋"/>
              </w:rPr>
            </w:pPr>
            <w:r>
              <w:rPr>
                <w:rFonts w:ascii="仿宋" w:hAnsi="仿宋" w:eastAsia="仿宋"/>
              </w:rPr>
              <w:t>10</w:t>
            </w:r>
          </w:p>
        </w:tc>
        <w:tc>
          <w:tcPr>
            <w:tcW w:w="5528" w:type="dxa"/>
            <w:tcMar>
              <w:top w:w="135" w:type="dxa"/>
              <w:left w:w="120" w:type="dxa"/>
              <w:bottom w:w="135" w:type="dxa"/>
              <w:right w:w="120" w:type="dxa"/>
            </w:tcMar>
            <w:vAlign w:val="center"/>
          </w:tcPr>
          <w:p w14:paraId="577D77F9">
            <w:pPr>
              <w:rPr>
                <w:rFonts w:ascii="仿宋" w:hAnsi="仿宋" w:eastAsia="仿宋"/>
              </w:rPr>
            </w:pPr>
            <w:r>
              <w:rPr>
                <w:rFonts w:ascii="仿宋" w:hAnsi="仿宋" w:eastAsia="仿宋"/>
              </w:rPr>
              <w:t>设备故障应急预案完善，具备可执行性，得 5 分；技术支持团队响应速度快，解决问题能力强，得 5 分。</w:t>
            </w:r>
          </w:p>
        </w:tc>
      </w:tr>
      <w:tr w14:paraId="480D5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0" w:hRule="atLeast"/>
        </w:trPr>
        <w:tc>
          <w:tcPr>
            <w:tcW w:w="568" w:type="dxa"/>
            <w:tcMar>
              <w:top w:w="135" w:type="dxa"/>
              <w:left w:w="120" w:type="dxa"/>
              <w:bottom w:w="135" w:type="dxa"/>
              <w:right w:w="120" w:type="dxa"/>
            </w:tcMar>
            <w:vAlign w:val="center"/>
          </w:tcPr>
          <w:p w14:paraId="0B9EFEC6">
            <w:pPr>
              <w:jc w:val="center"/>
              <w:rPr>
                <w:rFonts w:ascii="仿宋" w:hAnsi="仿宋" w:eastAsia="仿宋"/>
              </w:rPr>
            </w:pPr>
            <w:r>
              <w:rPr>
                <w:rFonts w:hint="eastAsia" w:ascii="仿宋" w:hAnsi="仿宋" w:eastAsia="仿宋"/>
              </w:rPr>
              <w:t>1</w:t>
            </w:r>
            <w:r>
              <w:rPr>
                <w:rFonts w:ascii="仿宋" w:hAnsi="仿宋" w:eastAsia="仿宋"/>
              </w:rPr>
              <w:t>0</w:t>
            </w:r>
          </w:p>
        </w:tc>
        <w:tc>
          <w:tcPr>
            <w:tcW w:w="1418" w:type="dxa"/>
            <w:tcMar>
              <w:top w:w="135" w:type="dxa"/>
              <w:left w:w="120" w:type="dxa"/>
              <w:bottom w:w="135" w:type="dxa"/>
              <w:right w:w="120" w:type="dxa"/>
            </w:tcMar>
            <w:vAlign w:val="center"/>
          </w:tcPr>
          <w:p w14:paraId="57A6AD6F">
            <w:pPr>
              <w:rPr>
                <w:rFonts w:ascii="仿宋" w:hAnsi="仿宋" w:eastAsia="仿宋"/>
              </w:rPr>
            </w:pPr>
            <w:r>
              <w:rPr>
                <w:rFonts w:ascii="仿宋" w:hAnsi="仿宋" w:eastAsia="仿宋"/>
              </w:rPr>
              <w:t>用户培训规划</w:t>
            </w:r>
          </w:p>
        </w:tc>
        <w:tc>
          <w:tcPr>
            <w:tcW w:w="709" w:type="dxa"/>
            <w:tcMar>
              <w:top w:w="135" w:type="dxa"/>
              <w:left w:w="120" w:type="dxa"/>
              <w:bottom w:w="135" w:type="dxa"/>
              <w:right w:w="120" w:type="dxa"/>
            </w:tcMar>
            <w:vAlign w:val="center"/>
          </w:tcPr>
          <w:p w14:paraId="5678CF02">
            <w:pPr>
              <w:jc w:val="center"/>
              <w:rPr>
                <w:rFonts w:ascii="仿宋" w:hAnsi="仿宋" w:eastAsia="仿宋"/>
              </w:rPr>
            </w:pPr>
            <w:r>
              <w:rPr>
                <w:rFonts w:ascii="仿宋" w:hAnsi="仿宋" w:eastAsia="仿宋"/>
              </w:rPr>
              <w:t>5</w:t>
            </w:r>
          </w:p>
        </w:tc>
        <w:tc>
          <w:tcPr>
            <w:tcW w:w="5528" w:type="dxa"/>
            <w:tcMar>
              <w:top w:w="135" w:type="dxa"/>
              <w:left w:w="120" w:type="dxa"/>
              <w:bottom w:w="135" w:type="dxa"/>
              <w:right w:w="120" w:type="dxa"/>
            </w:tcMar>
            <w:vAlign w:val="center"/>
          </w:tcPr>
          <w:p w14:paraId="1CD3F16E">
            <w:pPr>
              <w:rPr>
                <w:rFonts w:ascii="仿宋" w:hAnsi="仿宋" w:eastAsia="仿宋"/>
              </w:rPr>
            </w:pPr>
            <w:r>
              <w:rPr>
                <w:rFonts w:ascii="仿宋" w:hAnsi="仿宋" w:eastAsia="仿宋"/>
              </w:rPr>
              <w:t>针对用户及物业的操作培训计划详细，具备实用性，得 5 分。</w:t>
            </w:r>
          </w:p>
        </w:tc>
      </w:tr>
    </w:tbl>
    <w:p w14:paraId="434FD952">
      <w:pPr>
        <w:ind w:right="21" w:rightChars="10"/>
        <w:jc w:val="center"/>
        <w:rPr>
          <w:rFonts w:ascii="Calibri" w:hAnsi="Calibri" w:eastAsia="宋体" w:cs="Times New Roman"/>
          <w:b/>
          <w:sz w:val="36"/>
          <w:szCs w:val="36"/>
        </w:rPr>
      </w:pPr>
      <w:r>
        <w:rPr>
          <w:b/>
          <w:sz w:val="36"/>
          <w:szCs w:val="36"/>
        </w:rPr>
        <w:t xml:space="preserve"> </w:t>
      </w:r>
    </w:p>
    <w:p w14:paraId="2F9CD575">
      <w:pPr>
        <w:widowControl/>
        <w:jc w:val="left"/>
        <w:rPr>
          <w:b/>
          <w:kern w:val="0"/>
          <w:sz w:val="36"/>
          <w:szCs w:val="36"/>
        </w:rPr>
        <w:sectPr>
          <w:footerReference r:id="rId3" w:type="default"/>
          <w:pgSz w:w="11906" w:h="16838"/>
          <w:pgMar w:top="1440" w:right="1797" w:bottom="1440" w:left="1797" w:header="851" w:footer="992" w:gutter="0"/>
          <w:cols w:space="720" w:num="1"/>
        </w:sectPr>
      </w:pPr>
    </w:p>
    <w:p w14:paraId="19127945">
      <w:pPr>
        <w:widowControl/>
        <w:spacing w:after="120" w:afterLines="50" w:line="440" w:lineRule="exact"/>
        <w:jc w:val="center"/>
        <w:rPr>
          <w:rFonts w:ascii="黑体" w:hAnsi="宋体" w:eastAsia="黑体" w:cs="黑体"/>
          <w:color w:val="000000"/>
          <w:kern w:val="0"/>
          <w:sz w:val="36"/>
          <w:szCs w:val="44"/>
        </w:rPr>
      </w:pPr>
      <w:r>
        <w:rPr>
          <w:rFonts w:hint="eastAsia" w:ascii="黑体" w:hAnsi="宋体" w:eastAsia="黑体" w:cs="黑体"/>
          <w:color w:val="000000"/>
          <w:kern w:val="0"/>
          <w:sz w:val="36"/>
          <w:szCs w:val="44"/>
        </w:rPr>
        <w:t>第四部分  响应文件构成与要求</w:t>
      </w:r>
    </w:p>
    <w:p w14:paraId="0F5ED448">
      <w:pPr>
        <w:adjustRightInd w:val="0"/>
        <w:snapToGrid w:val="0"/>
        <w:jc w:val="center"/>
        <w:rPr>
          <w:rFonts w:ascii="黑体" w:hAnsi="宋体" w:eastAsia="黑体" w:cs="宋体"/>
          <w:szCs w:val="32"/>
        </w:rPr>
      </w:pPr>
    </w:p>
    <w:p w14:paraId="06EABBA2">
      <w:pPr>
        <w:spacing w:after="120" w:afterLines="50" w:line="440" w:lineRule="exact"/>
        <w:ind w:right="21" w:rightChars="10" w:firstLine="562" w:firstLineChars="200"/>
        <w:rPr>
          <w:rFonts w:ascii="仿宋" w:hAnsi="仿宋" w:eastAsia="仿宋" w:cs="Times New Roman"/>
          <w:b/>
          <w:sz w:val="28"/>
          <w:szCs w:val="28"/>
        </w:rPr>
      </w:pPr>
      <w:r>
        <w:rPr>
          <w:rFonts w:hint="eastAsia" w:ascii="仿宋" w:hAnsi="仿宋" w:eastAsia="仿宋"/>
          <w:b/>
          <w:sz w:val="28"/>
          <w:szCs w:val="28"/>
        </w:rPr>
        <w:t>一、磋商响应文件装订要求</w:t>
      </w:r>
    </w:p>
    <w:p w14:paraId="4DB545C6">
      <w:pPr>
        <w:spacing w:after="120" w:afterLines="50" w:line="440" w:lineRule="exact"/>
        <w:ind w:right="21" w:rightChars="10" w:firstLine="560" w:firstLineChars="200"/>
        <w:rPr>
          <w:rFonts w:ascii="仿宋" w:hAnsi="仿宋" w:eastAsia="仿宋"/>
          <w:sz w:val="28"/>
          <w:szCs w:val="28"/>
        </w:rPr>
      </w:pPr>
      <w:r>
        <w:rPr>
          <w:rFonts w:hint="eastAsia" w:ascii="仿宋" w:hAnsi="仿宋" w:eastAsia="仿宋"/>
          <w:sz w:val="28"/>
          <w:szCs w:val="28"/>
        </w:rPr>
        <w:t>1、★磋商响应文件必须使用中文，用A4纸印刷和胶装，由法定代表人或其授权代理人签署，并加盖公章。</w:t>
      </w:r>
    </w:p>
    <w:p w14:paraId="79195ED1">
      <w:pPr>
        <w:spacing w:after="120" w:afterLines="50" w:line="440" w:lineRule="exact"/>
        <w:ind w:right="21" w:rightChars="10" w:firstLine="560" w:firstLineChars="200"/>
        <w:rPr>
          <w:rFonts w:ascii="仿宋" w:hAnsi="仿宋" w:eastAsia="仿宋"/>
          <w:sz w:val="28"/>
          <w:szCs w:val="28"/>
        </w:rPr>
      </w:pPr>
      <w:r>
        <w:rPr>
          <w:rFonts w:hint="eastAsia" w:ascii="仿宋" w:hAnsi="仿宋" w:eastAsia="仿宋"/>
          <w:sz w:val="28"/>
          <w:szCs w:val="28"/>
        </w:rPr>
        <w:t>2、★磋商响应文件需密封递交正本1份，副本2份， 请注明正副本，不得缺页，不得任意涂改。正本、副本内容应保持一致，如有不一致的，则以正本内容为准。</w:t>
      </w:r>
    </w:p>
    <w:p w14:paraId="5B3ECC56">
      <w:pPr>
        <w:spacing w:after="120" w:afterLines="50" w:line="440" w:lineRule="exact"/>
        <w:ind w:right="21" w:rightChars="10" w:firstLine="560" w:firstLineChars="200"/>
        <w:rPr>
          <w:rFonts w:ascii="仿宋" w:hAnsi="仿宋" w:eastAsia="仿宋"/>
          <w:sz w:val="28"/>
          <w:szCs w:val="28"/>
        </w:rPr>
      </w:pPr>
      <w:r>
        <w:rPr>
          <w:rFonts w:hint="eastAsia" w:ascii="仿宋" w:hAnsi="仿宋" w:eastAsia="仿宋"/>
          <w:sz w:val="28"/>
          <w:szCs w:val="28"/>
        </w:rPr>
        <w:t>3、磋商响应文件应编制目录，并标明页码。</w:t>
      </w:r>
    </w:p>
    <w:p w14:paraId="7578FFB6">
      <w:pPr>
        <w:spacing w:after="120" w:afterLines="50" w:line="440" w:lineRule="exact"/>
        <w:ind w:right="21" w:rightChars="10" w:firstLine="562" w:firstLineChars="200"/>
        <w:rPr>
          <w:rFonts w:ascii="仿宋" w:hAnsi="仿宋" w:eastAsia="仿宋"/>
          <w:b/>
          <w:sz w:val="28"/>
          <w:szCs w:val="28"/>
        </w:rPr>
      </w:pPr>
      <w:r>
        <w:rPr>
          <w:rFonts w:hint="eastAsia" w:ascii="仿宋" w:hAnsi="仿宋" w:eastAsia="仿宋"/>
          <w:b/>
          <w:sz w:val="28"/>
          <w:szCs w:val="28"/>
        </w:rPr>
        <w:t>二、磋商响应文件的封面页上应标注项目名称、正文按目录顺序包含但不限于以下内容</w:t>
      </w:r>
    </w:p>
    <w:p w14:paraId="210DEB28">
      <w:pPr>
        <w:spacing w:after="120" w:afterLines="50" w:line="440" w:lineRule="exact"/>
        <w:ind w:right="-97" w:rightChars="-46" w:firstLine="560" w:firstLineChars="200"/>
        <w:rPr>
          <w:rFonts w:ascii="仿宋" w:hAnsi="仿宋" w:eastAsia="仿宋"/>
          <w:sz w:val="28"/>
          <w:szCs w:val="28"/>
        </w:rPr>
      </w:pPr>
      <w:r>
        <w:rPr>
          <w:rFonts w:hint="eastAsia" w:ascii="仿宋" w:hAnsi="仿宋" w:eastAsia="仿宋"/>
          <w:sz w:val="28"/>
          <w:szCs w:val="28"/>
        </w:rPr>
        <w:t>1、报价函（附件一）；</w:t>
      </w:r>
    </w:p>
    <w:p w14:paraId="7DD826A2">
      <w:pPr>
        <w:spacing w:after="120" w:afterLines="50" w:line="440" w:lineRule="exact"/>
        <w:ind w:right="-97" w:rightChars="-46" w:firstLine="560" w:firstLineChars="200"/>
        <w:rPr>
          <w:rFonts w:ascii="仿宋" w:hAnsi="仿宋" w:eastAsia="仿宋"/>
          <w:sz w:val="28"/>
          <w:szCs w:val="28"/>
        </w:rPr>
      </w:pPr>
      <w:r>
        <w:rPr>
          <w:rFonts w:hint="eastAsia" w:ascii="仿宋" w:hAnsi="仿宋" w:eastAsia="仿宋"/>
          <w:sz w:val="28"/>
          <w:szCs w:val="28"/>
        </w:rPr>
        <w:t>2、法定代表人授权委托书（附件二）；</w:t>
      </w:r>
    </w:p>
    <w:p w14:paraId="76EB70DE">
      <w:pPr>
        <w:spacing w:after="120" w:afterLines="50" w:line="440" w:lineRule="exact"/>
        <w:ind w:right="-97" w:rightChars="-46" w:firstLine="560" w:firstLineChars="200"/>
        <w:rPr>
          <w:rFonts w:ascii="仿宋" w:hAnsi="仿宋" w:eastAsia="仿宋"/>
          <w:sz w:val="28"/>
          <w:szCs w:val="28"/>
        </w:rPr>
      </w:pPr>
      <w:r>
        <w:rPr>
          <w:rFonts w:hint="eastAsia" w:ascii="仿宋" w:hAnsi="仿宋" w:eastAsia="仿宋"/>
          <w:sz w:val="28"/>
          <w:szCs w:val="28"/>
        </w:rPr>
        <w:t>3、服务价目确认表（附件三）；</w:t>
      </w:r>
    </w:p>
    <w:p w14:paraId="22D54289">
      <w:pPr>
        <w:spacing w:after="120" w:afterLines="50" w:line="440" w:lineRule="exact"/>
        <w:ind w:right="-97" w:rightChars="-46" w:firstLine="560" w:firstLineChars="200"/>
        <w:rPr>
          <w:rFonts w:ascii="仿宋" w:hAnsi="仿宋" w:eastAsia="仿宋"/>
          <w:sz w:val="28"/>
          <w:szCs w:val="28"/>
        </w:rPr>
      </w:pPr>
      <w:r>
        <w:rPr>
          <w:rFonts w:hint="eastAsia" w:ascii="仿宋" w:hAnsi="仿宋" w:eastAsia="仿宋"/>
          <w:sz w:val="28"/>
          <w:szCs w:val="28"/>
        </w:rPr>
        <w:t>4、服务商基本情况介绍；</w:t>
      </w:r>
    </w:p>
    <w:p w14:paraId="7341D3F9">
      <w:pPr>
        <w:spacing w:after="120" w:afterLines="50" w:line="440" w:lineRule="exact"/>
        <w:ind w:right="-97" w:rightChars="-46" w:firstLine="560" w:firstLineChars="200"/>
        <w:rPr>
          <w:rFonts w:ascii="仿宋" w:hAnsi="仿宋" w:eastAsia="仿宋"/>
          <w:sz w:val="28"/>
          <w:szCs w:val="28"/>
        </w:rPr>
      </w:pPr>
      <w:r>
        <w:rPr>
          <w:rFonts w:hint="eastAsia" w:ascii="仿宋" w:hAnsi="仿宋" w:eastAsia="仿宋"/>
          <w:sz w:val="28"/>
          <w:szCs w:val="28"/>
        </w:rPr>
        <w:t>5、服务商类似业绩一览表（附件四）；</w:t>
      </w:r>
    </w:p>
    <w:p w14:paraId="6FA89AB2">
      <w:pPr>
        <w:spacing w:after="120" w:afterLines="50" w:line="440" w:lineRule="exact"/>
        <w:ind w:right="-97" w:rightChars="-46" w:firstLine="560" w:firstLineChars="200"/>
        <w:rPr>
          <w:rFonts w:ascii="仿宋" w:hAnsi="仿宋" w:eastAsia="仿宋"/>
          <w:sz w:val="28"/>
          <w:szCs w:val="28"/>
        </w:rPr>
      </w:pPr>
      <w:r>
        <w:rPr>
          <w:rFonts w:hint="eastAsia" w:ascii="仿宋" w:hAnsi="仿宋" w:eastAsia="仿宋"/>
          <w:sz w:val="28"/>
          <w:szCs w:val="28"/>
        </w:rPr>
        <w:t>6、物业服务费确认表（附件五）</w:t>
      </w:r>
    </w:p>
    <w:p w14:paraId="6BE3E2C0">
      <w:pPr>
        <w:spacing w:after="120" w:afterLines="50" w:line="440" w:lineRule="exact"/>
        <w:ind w:right="-97" w:rightChars="-46" w:firstLine="560" w:firstLineChars="200"/>
        <w:rPr>
          <w:rFonts w:ascii="仿宋" w:hAnsi="仿宋" w:eastAsia="仿宋"/>
          <w:sz w:val="28"/>
          <w:szCs w:val="28"/>
        </w:rPr>
      </w:pPr>
      <w:r>
        <w:rPr>
          <w:rFonts w:hint="eastAsia" w:ascii="仿宋" w:hAnsi="仿宋" w:eastAsia="仿宋"/>
          <w:sz w:val="28"/>
          <w:szCs w:val="28"/>
        </w:rPr>
        <w:t>7、企划书、软装方案、企业相关资质等材料。</w:t>
      </w:r>
    </w:p>
    <w:p w14:paraId="6676CB4D">
      <w:pPr>
        <w:spacing w:after="120" w:afterLines="50" w:line="440" w:lineRule="exact"/>
        <w:ind w:right="-97" w:rightChars="-46" w:firstLine="560" w:firstLineChars="200"/>
        <w:rPr>
          <w:rFonts w:ascii="仿宋" w:hAnsi="仿宋" w:eastAsia="仿宋"/>
          <w:sz w:val="28"/>
          <w:szCs w:val="28"/>
        </w:rPr>
      </w:pPr>
      <w:r>
        <w:rPr>
          <w:rFonts w:hint="eastAsia" w:ascii="仿宋" w:hAnsi="仿宋" w:eastAsia="仿宋"/>
          <w:sz w:val="28"/>
          <w:szCs w:val="28"/>
        </w:rPr>
        <w:t>8、包括但不限于磋商文件中所要求的证明文件：</w:t>
      </w:r>
    </w:p>
    <w:p w14:paraId="5E1E834F">
      <w:pPr>
        <w:spacing w:after="120" w:afterLines="50" w:line="440" w:lineRule="exact"/>
        <w:ind w:right="-97" w:rightChars="-46" w:firstLine="560" w:firstLineChars="200"/>
        <w:rPr>
          <w:rFonts w:ascii="仿宋" w:hAnsi="仿宋" w:eastAsia="仿宋"/>
          <w:sz w:val="28"/>
          <w:szCs w:val="28"/>
        </w:rPr>
      </w:pPr>
      <w:r>
        <w:rPr>
          <w:rFonts w:hint="eastAsia" w:ascii="仿宋" w:hAnsi="仿宋" w:eastAsia="仿宋"/>
          <w:sz w:val="28"/>
          <w:szCs w:val="28"/>
        </w:rPr>
        <w:t>（1）营业执照；</w:t>
      </w:r>
    </w:p>
    <w:p w14:paraId="2B118FC4">
      <w:pPr>
        <w:spacing w:after="120" w:afterLines="50" w:line="440" w:lineRule="exact"/>
        <w:ind w:right="-97" w:rightChars="-46" w:firstLine="560" w:firstLineChars="200"/>
        <w:rPr>
          <w:rFonts w:ascii="仿宋" w:hAnsi="仿宋" w:eastAsia="仿宋"/>
          <w:sz w:val="28"/>
          <w:szCs w:val="28"/>
        </w:rPr>
      </w:pPr>
      <w:r>
        <w:rPr>
          <w:rFonts w:hint="eastAsia" w:ascii="仿宋" w:hAnsi="仿宋" w:eastAsia="仿宋"/>
          <w:sz w:val="28"/>
          <w:szCs w:val="28"/>
        </w:rPr>
        <w:t>（2）信用中国网站（www.creditchina.gov.cn）和中国政府采购网（www.ccgp.gov.cn）查询截图；</w:t>
      </w:r>
    </w:p>
    <w:p w14:paraId="42EC7FE8">
      <w:pPr>
        <w:tabs>
          <w:tab w:val="left" w:pos="8280"/>
        </w:tabs>
        <w:spacing w:after="120" w:afterLines="50" w:line="440" w:lineRule="exact"/>
        <w:ind w:right="-97" w:rightChars="-46" w:firstLine="560" w:firstLineChars="200"/>
        <w:rPr>
          <w:rFonts w:ascii="仿宋" w:hAnsi="仿宋" w:eastAsia="仿宋"/>
          <w:sz w:val="28"/>
          <w:szCs w:val="28"/>
        </w:rPr>
      </w:pPr>
      <w:r>
        <w:rPr>
          <w:rFonts w:hint="eastAsia" w:ascii="仿宋" w:hAnsi="仿宋" w:eastAsia="仿宋"/>
          <w:sz w:val="28"/>
          <w:szCs w:val="28"/>
        </w:rPr>
        <w:t>8、服务承诺（格式自拟）；</w:t>
      </w:r>
    </w:p>
    <w:p w14:paraId="61637554">
      <w:pPr>
        <w:tabs>
          <w:tab w:val="left" w:pos="8280"/>
        </w:tabs>
        <w:spacing w:after="120" w:afterLines="50" w:line="440" w:lineRule="exact"/>
        <w:ind w:right="-97" w:rightChars="-46" w:firstLine="560" w:firstLineChars="200"/>
        <w:rPr>
          <w:rFonts w:ascii="仿宋" w:hAnsi="仿宋" w:eastAsia="仿宋"/>
          <w:sz w:val="28"/>
          <w:szCs w:val="28"/>
        </w:rPr>
      </w:pPr>
      <w:r>
        <w:rPr>
          <w:rFonts w:hint="eastAsia" w:ascii="仿宋" w:hAnsi="仿宋" w:eastAsia="仿宋"/>
          <w:sz w:val="28"/>
          <w:szCs w:val="28"/>
        </w:rPr>
        <w:t>9、服务商认为有必要提供的其他材料。</w:t>
      </w:r>
    </w:p>
    <w:p w14:paraId="43D48F24">
      <w:pPr>
        <w:widowControl/>
        <w:jc w:val="left"/>
        <w:rPr>
          <w:rFonts w:ascii="仿宋" w:hAnsi="仿宋" w:eastAsia="仿宋"/>
          <w:kern w:val="0"/>
          <w:sz w:val="28"/>
          <w:szCs w:val="28"/>
        </w:rPr>
        <w:sectPr>
          <w:pgSz w:w="11906" w:h="16838"/>
          <w:pgMar w:top="1440" w:right="1797" w:bottom="1440" w:left="1797" w:header="851" w:footer="992" w:gutter="0"/>
          <w:cols w:space="720" w:num="1"/>
        </w:sectPr>
      </w:pPr>
    </w:p>
    <w:p w14:paraId="6322693E">
      <w:pPr>
        <w:rPr>
          <w:rFonts w:ascii="宋体" w:hAnsi="宋体" w:eastAsia="宋体"/>
          <w:b/>
          <w:bCs/>
          <w:sz w:val="24"/>
          <w:szCs w:val="24"/>
        </w:rPr>
      </w:pPr>
    </w:p>
    <w:p w14:paraId="5660211E">
      <w:pPr>
        <w:rPr>
          <w:rFonts w:ascii="宋体" w:hAnsi="宋体"/>
          <w:b/>
          <w:bCs/>
          <w:sz w:val="24"/>
          <w:szCs w:val="24"/>
        </w:rPr>
      </w:pPr>
      <w:r>
        <w:rPr>
          <w:rFonts w:hint="eastAsia" w:ascii="宋体" w:hAnsi="宋体"/>
          <w:b/>
          <w:bCs/>
          <w:sz w:val="24"/>
          <w:szCs w:val="24"/>
        </w:rPr>
        <w:t>附件一：报价函</w:t>
      </w:r>
    </w:p>
    <w:p w14:paraId="569E26FE">
      <w:pPr>
        <w:jc w:val="center"/>
        <w:rPr>
          <w:rFonts w:ascii="宋体" w:hAnsi="宋体"/>
          <w:b/>
          <w:sz w:val="24"/>
          <w:szCs w:val="24"/>
        </w:rPr>
      </w:pPr>
      <w:r>
        <w:rPr>
          <w:rFonts w:hint="eastAsia" w:ascii="宋体" w:hAnsi="宋体"/>
          <w:b/>
          <w:sz w:val="24"/>
          <w:szCs w:val="24"/>
        </w:rPr>
        <w:t>报 价 函</w:t>
      </w:r>
    </w:p>
    <w:p w14:paraId="34EA2666">
      <w:pPr>
        <w:ind w:firstLine="240" w:firstLineChars="100"/>
        <w:jc w:val="center"/>
        <w:rPr>
          <w:rFonts w:ascii="宋体" w:hAnsi="宋体"/>
          <w:sz w:val="24"/>
          <w:szCs w:val="24"/>
        </w:rPr>
      </w:pPr>
    </w:p>
    <w:p w14:paraId="768D7889">
      <w:pPr>
        <w:spacing w:after="120" w:afterLines="50" w:line="440" w:lineRule="exact"/>
        <w:ind w:right="-97" w:rightChars="-46" w:firstLine="480" w:firstLineChars="200"/>
        <w:rPr>
          <w:rFonts w:ascii="仿宋" w:hAnsi="仿宋" w:eastAsia="仿宋"/>
          <w:sz w:val="24"/>
          <w:szCs w:val="24"/>
        </w:rPr>
      </w:pPr>
      <w:r>
        <w:rPr>
          <w:rFonts w:hint="eastAsia" w:ascii="仿宋" w:hAnsi="仿宋" w:eastAsia="仿宋"/>
          <w:sz w:val="24"/>
          <w:szCs w:val="24"/>
        </w:rPr>
        <w:t>致：</w:t>
      </w:r>
      <w:r>
        <w:rPr>
          <w:rFonts w:hint="eastAsia" w:ascii="仿宋" w:hAnsi="仿宋" w:eastAsia="仿宋"/>
          <w:sz w:val="24"/>
          <w:szCs w:val="24"/>
          <w:u w:val="single"/>
        </w:rPr>
        <w:t xml:space="preserve">上海贸大企业管理有限公司  </w:t>
      </w:r>
      <w:r>
        <w:rPr>
          <w:rFonts w:hint="eastAsia" w:ascii="仿宋" w:hAnsi="仿宋" w:eastAsia="仿宋"/>
          <w:sz w:val="24"/>
          <w:szCs w:val="24"/>
        </w:rPr>
        <w:t xml:space="preserve">  </w:t>
      </w:r>
    </w:p>
    <w:p w14:paraId="037E9BD8">
      <w:pPr>
        <w:spacing w:after="120" w:afterLines="50" w:line="440" w:lineRule="exact"/>
        <w:ind w:right="-97" w:rightChars="-46" w:firstLine="480" w:firstLineChars="200"/>
        <w:rPr>
          <w:rFonts w:ascii="仿宋" w:hAnsi="仿宋" w:eastAsia="仿宋"/>
          <w:sz w:val="24"/>
          <w:szCs w:val="24"/>
        </w:rPr>
      </w:pPr>
      <w:r>
        <w:rPr>
          <w:rFonts w:hint="eastAsia" w:ascii="仿宋" w:hAnsi="仿宋" w:eastAsia="仿宋"/>
          <w:sz w:val="24"/>
          <w:szCs w:val="24"/>
        </w:rPr>
        <w:t>1.我方已收到</w:t>
      </w:r>
      <w:r>
        <w:rPr>
          <w:rFonts w:ascii="仿宋" w:hAnsi="仿宋" w:eastAsia="仿宋"/>
          <w:sz w:val="24"/>
          <w:szCs w:val="24"/>
          <w:u w:val="single"/>
        </w:rPr>
        <w:t>上海对外经贸大学松江</w:t>
      </w:r>
      <w:r>
        <w:rPr>
          <w:rFonts w:hint="eastAsia" w:ascii="仿宋" w:hAnsi="仿宋" w:eastAsia="仿宋"/>
          <w:sz w:val="24"/>
          <w:szCs w:val="24"/>
          <w:u w:val="single"/>
        </w:rPr>
        <w:t>学生</w:t>
      </w:r>
      <w:r>
        <w:rPr>
          <w:rFonts w:ascii="仿宋" w:hAnsi="仿宋" w:eastAsia="仿宋"/>
          <w:sz w:val="24"/>
          <w:szCs w:val="24"/>
          <w:u w:val="single"/>
        </w:rPr>
        <w:t>社区</w:t>
      </w:r>
      <w:r>
        <w:rPr>
          <w:rFonts w:hint="eastAsia" w:ascii="仿宋" w:hAnsi="仿宋" w:eastAsia="仿宋"/>
          <w:sz w:val="24"/>
          <w:szCs w:val="24"/>
          <w:u w:val="single"/>
        </w:rPr>
        <w:t xml:space="preserve">引进第三方电动自行车充电桩 </w:t>
      </w:r>
      <w:r>
        <w:rPr>
          <w:rFonts w:ascii="仿宋" w:hAnsi="仿宋" w:eastAsia="仿宋"/>
          <w:sz w:val="24"/>
          <w:szCs w:val="24"/>
          <w:u w:val="single"/>
        </w:rPr>
        <w:t xml:space="preserve">   </w:t>
      </w:r>
      <w:r>
        <w:rPr>
          <w:rFonts w:hint="eastAsia" w:ascii="仿宋" w:hAnsi="仿宋" w:eastAsia="仿宋"/>
          <w:sz w:val="24"/>
          <w:szCs w:val="24"/>
          <w:u w:val="single"/>
        </w:rPr>
        <w:t>服务项目</w:t>
      </w:r>
      <w:r>
        <w:rPr>
          <w:rFonts w:hint="eastAsia" w:ascii="仿宋" w:hAnsi="仿宋" w:eastAsia="仿宋"/>
          <w:sz w:val="24"/>
          <w:szCs w:val="24"/>
        </w:rPr>
        <w:t>的文件，我方完全无任何附加条件，愿意按照磋商文件各项条款执行，参加报价。</w:t>
      </w:r>
    </w:p>
    <w:p w14:paraId="28DDEE77">
      <w:pPr>
        <w:spacing w:after="120" w:afterLines="50" w:line="440" w:lineRule="exact"/>
        <w:ind w:right="-97" w:rightChars="-46" w:firstLine="480" w:firstLineChars="200"/>
        <w:rPr>
          <w:rFonts w:ascii="仿宋" w:hAnsi="仿宋" w:eastAsia="仿宋"/>
          <w:sz w:val="24"/>
          <w:szCs w:val="24"/>
        </w:rPr>
      </w:pPr>
      <w:r>
        <w:rPr>
          <w:rFonts w:hint="eastAsia" w:ascii="仿宋" w:hAnsi="仿宋" w:eastAsia="仿宋"/>
          <w:sz w:val="24"/>
          <w:szCs w:val="24"/>
        </w:rPr>
        <w:t>2.如果我方入围，我方保证按照国家标准及招标人提出的技术质量要求，按照合同约定，完成项目。</w:t>
      </w:r>
    </w:p>
    <w:p w14:paraId="210C7CC4">
      <w:pPr>
        <w:spacing w:after="120" w:afterLines="50" w:line="440" w:lineRule="exact"/>
        <w:ind w:right="-97" w:rightChars="-46" w:firstLine="480" w:firstLineChars="200"/>
        <w:rPr>
          <w:rFonts w:ascii="仿宋" w:hAnsi="仿宋" w:eastAsia="仿宋"/>
          <w:sz w:val="24"/>
          <w:szCs w:val="24"/>
        </w:rPr>
      </w:pPr>
      <w:r>
        <w:rPr>
          <w:rFonts w:hint="eastAsia" w:ascii="仿宋" w:hAnsi="仿宋" w:eastAsia="仿宋"/>
          <w:sz w:val="24"/>
          <w:szCs w:val="24"/>
        </w:rPr>
        <w:t>3.我方愿意向招标人提供与该采购项目有关的数据情况和技术资料。与磋商响应文件一起提交的支持文件和手册将归上海贸大企业管理有限公司所有。</w:t>
      </w:r>
    </w:p>
    <w:p w14:paraId="610ABC14">
      <w:pPr>
        <w:pStyle w:val="14"/>
        <w:spacing w:after="120" w:afterLines="50" w:line="440" w:lineRule="exact"/>
        <w:ind w:firstLine="480"/>
        <w:jc w:val="center"/>
        <w:rPr>
          <w:rFonts w:ascii="仿宋" w:hAnsi="仿宋" w:eastAsia="仿宋" w:cs="Arial"/>
          <w:lang w:eastAsia="zh-Hans"/>
        </w:rPr>
      </w:pPr>
      <w:r>
        <w:rPr>
          <w:rFonts w:ascii="Calibri" w:hAnsi="Calibri" w:eastAsia="仿宋" w:cs="Calibri"/>
          <w:lang w:eastAsia="zh-Hans"/>
        </w:rPr>
        <w:t> </w:t>
      </w:r>
    </w:p>
    <w:p w14:paraId="1108C8AE">
      <w:pPr>
        <w:spacing w:after="120" w:afterLines="50" w:line="440" w:lineRule="exact"/>
        <w:ind w:right="-97" w:rightChars="-46" w:firstLine="480" w:firstLineChars="200"/>
        <w:rPr>
          <w:rFonts w:ascii="仿宋" w:hAnsi="仿宋" w:eastAsia="仿宋" w:cs="Times New Roman"/>
          <w:sz w:val="24"/>
          <w:szCs w:val="24"/>
        </w:rPr>
      </w:pPr>
      <w:r>
        <w:rPr>
          <w:rFonts w:hint="eastAsia" w:ascii="仿宋" w:hAnsi="仿宋" w:eastAsia="仿宋"/>
          <w:sz w:val="24"/>
          <w:szCs w:val="24"/>
        </w:rPr>
        <w:t>报价单位（盖章）：</w:t>
      </w:r>
      <w:r>
        <w:rPr>
          <w:rFonts w:hint="eastAsia" w:ascii="仿宋" w:hAnsi="仿宋" w:eastAsia="仿宋"/>
          <w:sz w:val="24"/>
          <w:szCs w:val="24"/>
          <w:u w:val="single"/>
        </w:rPr>
        <w:t xml:space="preserve">                             </w:t>
      </w:r>
      <w:r>
        <w:rPr>
          <w:rFonts w:hint="eastAsia" w:ascii="仿宋" w:hAnsi="仿宋" w:eastAsia="仿宋"/>
          <w:sz w:val="24"/>
          <w:szCs w:val="24"/>
        </w:rPr>
        <w:t xml:space="preserve"> </w:t>
      </w:r>
    </w:p>
    <w:p w14:paraId="38B8BF4B">
      <w:pPr>
        <w:spacing w:after="120" w:afterLines="50" w:line="440" w:lineRule="exact"/>
        <w:ind w:right="-97" w:rightChars="-46" w:firstLine="480" w:firstLineChars="200"/>
        <w:rPr>
          <w:rFonts w:ascii="仿宋" w:hAnsi="仿宋" w:eastAsia="仿宋"/>
          <w:sz w:val="24"/>
          <w:szCs w:val="24"/>
        </w:rPr>
      </w:pPr>
      <w:r>
        <w:rPr>
          <w:rFonts w:hint="eastAsia" w:ascii="仿宋" w:hAnsi="仿宋" w:eastAsia="仿宋"/>
          <w:sz w:val="24"/>
          <w:szCs w:val="24"/>
        </w:rPr>
        <w:t>法定代表人或授权委托人（签字）：</w:t>
      </w:r>
      <w:r>
        <w:rPr>
          <w:rFonts w:hint="eastAsia" w:ascii="仿宋" w:hAnsi="仿宋" w:eastAsia="仿宋"/>
          <w:sz w:val="24"/>
          <w:szCs w:val="24"/>
          <w:u w:val="single"/>
        </w:rPr>
        <w:t xml:space="preserve">                           </w:t>
      </w:r>
    </w:p>
    <w:p w14:paraId="51C1610D">
      <w:pPr>
        <w:spacing w:after="120" w:afterLines="50" w:line="440" w:lineRule="exact"/>
        <w:ind w:right="-97" w:rightChars="-46" w:firstLine="480" w:firstLineChars="200"/>
        <w:rPr>
          <w:rFonts w:ascii="仿宋" w:hAnsi="仿宋" w:eastAsia="仿宋"/>
          <w:sz w:val="24"/>
          <w:szCs w:val="24"/>
        </w:rPr>
      </w:pPr>
      <w:r>
        <w:rPr>
          <w:rFonts w:hint="eastAsia" w:ascii="仿宋" w:hAnsi="仿宋" w:eastAsia="仿宋"/>
          <w:sz w:val="24"/>
          <w:szCs w:val="24"/>
        </w:rPr>
        <w:t>日期：</w:t>
      </w:r>
      <w:r>
        <w:rPr>
          <w:rFonts w:hint="eastAsia" w:ascii="仿宋" w:hAnsi="仿宋" w:eastAsia="仿宋"/>
          <w:sz w:val="24"/>
          <w:szCs w:val="24"/>
          <w:u w:val="single"/>
        </w:rPr>
        <w:t xml:space="preserve">         </w:t>
      </w:r>
      <w:r>
        <w:rPr>
          <w:rFonts w:hint="eastAsia" w:ascii="仿宋" w:hAnsi="仿宋" w:eastAsia="仿宋"/>
          <w:sz w:val="24"/>
          <w:szCs w:val="24"/>
        </w:rPr>
        <w:t>年</w:t>
      </w:r>
      <w:r>
        <w:rPr>
          <w:rFonts w:hint="eastAsia" w:ascii="仿宋" w:hAnsi="仿宋" w:eastAsia="仿宋"/>
          <w:sz w:val="24"/>
          <w:szCs w:val="24"/>
          <w:u w:val="single"/>
        </w:rPr>
        <w:t xml:space="preserve">     </w:t>
      </w:r>
      <w:r>
        <w:rPr>
          <w:rFonts w:hint="eastAsia" w:ascii="仿宋" w:hAnsi="仿宋" w:eastAsia="仿宋"/>
          <w:sz w:val="24"/>
          <w:szCs w:val="24"/>
        </w:rPr>
        <w:t>月</w:t>
      </w:r>
      <w:r>
        <w:rPr>
          <w:rFonts w:hint="eastAsia" w:ascii="仿宋" w:hAnsi="仿宋" w:eastAsia="仿宋"/>
          <w:sz w:val="24"/>
          <w:szCs w:val="24"/>
          <w:u w:val="single"/>
        </w:rPr>
        <w:t xml:space="preserve">     </w:t>
      </w:r>
      <w:r>
        <w:rPr>
          <w:rFonts w:hint="eastAsia" w:ascii="仿宋" w:hAnsi="仿宋" w:eastAsia="仿宋"/>
          <w:sz w:val="24"/>
          <w:szCs w:val="24"/>
        </w:rPr>
        <w:t>日</w:t>
      </w:r>
    </w:p>
    <w:p w14:paraId="6F55A8B8">
      <w:pPr>
        <w:widowControl/>
        <w:jc w:val="left"/>
        <w:rPr>
          <w:rFonts w:ascii="仿宋" w:hAnsi="仿宋" w:eastAsia="仿宋"/>
          <w:kern w:val="0"/>
          <w:sz w:val="28"/>
          <w:szCs w:val="28"/>
        </w:rPr>
        <w:sectPr>
          <w:pgSz w:w="11906" w:h="16838"/>
          <w:pgMar w:top="1440" w:right="1797" w:bottom="1440" w:left="1797" w:header="851" w:footer="992" w:gutter="0"/>
          <w:cols w:space="720" w:num="1"/>
        </w:sectPr>
      </w:pPr>
    </w:p>
    <w:p w14:paraId="39412A0F">
      <w:pPr>
        <w:spacing w:line="360" w:lineRule="auto"/>
        <w:rPr>
          <w:rFonts w:ascii="宋体" w:hAnsi="宋体" w:eastAsia="宋体"/>
          <w:b/>
          <w:sz w:val="24"/>
          <w:szCs w:val="24"/>
        </w:rPr>
      </w:pPr>
      <w:r>
        <w:rPr>
          <w:rFonts w:hint="eastAsia" w:ascii="宋体" w:hAnsi="宋体"/>
          <w:b/>
          <w:sz w:val="24"/>
          <w:szCs w:val="24"/>
        </w:rPr>
        <w:t>附件二：法人委托授权书</w:t>
      </w:r>
    </w:p>
    <w:p w14:paraId="227CF03E">
      <w:pPr>
        <w:spacing w:line="360" w:lineRule="auto"/>
        <w:rPr>
          <w:rFonts w:ascii="宋体" w:hAnsi="宋体"/>
          <w:b/>
          <w:sz w:val="24"/>
          <w:szCs w:val="24"/>
        </w:rPr>
      </w:pPr>
    </w:p>
    <w:p w14:paraId="5883C038">
      <w:pPr>
        <w:spacing w:line="360" w:lineRule="auto"/>
        <w:jc w:val="center"/>
        <w:rPr>
          <w:rFonts w:ascii="宋体" w:hAnsi="宋体"/>
          <w:b/>
          <w:sz w:val="24"/>
          <w:szCs w:val="24"/>
        </w:rPr>
      </w:pPr>
      <w:r>
        <w:rPr>
          <w:rFonts w:hint="eastAsia" w:ascii="宋体" w:hAnsi="宋体"/>
          <w:b/>
          <w:sz w:val="24"/>
          <w:szCs w:val="24"/>
        </w:rPr>
        <w:t>法人委托授权书</w:t>
      </w:r>
    </w:p>
    <w:p w14:paraId="1BB3531A">
      <w:pPr>
        <w:spacing w:line="360" w:lineRule="auto"/>
        <w:jc w:val="center"/>
        <w:rPr>
          <w:rFonts w:ascii="宋体" w:hAnsi="宋体"/>
          <w:b/>
          <w:bCs/>
          <w:sz w:val="24"/>
          <w:szCs w:val="24"/>
        </w:rPr>
      </w:pPr>
    </w:p>
    <w:p w14:paraId="19C0AC27">
      <w:pPr>
        <w:spacing w:line="360" w:lineRule="auto"/>
        <w:ind w:firstLine="480" w:firstLineChars="200"/>
        <w:rPr>
          <w:rFonts w:ascii="仿宋" w:hAnsi="仿宋" w:eastAsia="仿宋"/>
          <w:sz w:val="24"/>
          <w:szCs w:val="24"/>
        </w:rPr>
      </w:pPr>
      <w:r>
        <w:rPr>
          <w:rFonts w:hint="eastAsia" w:ascii="仿宋" w:hAnsi="仿宋" w:eastAsia="仿宋"/>
          <w:sz w:val="24"/>
          <w:szCs w:val="24"/>
        </w:rPr>
        <w:t>本人系</w:t>
      </w:r>
      <w:r>
        <w:rPr>
          <w:rFonts w:hint="eastAsia" w:ascii="仿宋" w:hAnsi="仿宋" w:eastAsia="仿宋"/>
          <w:sz w:val="24"/>
          <w:szCs w:val="24"/>
          <w:u w:val="single"/>
        </w:rPr>
        <w:t xml:space="preserve">                                 </w:t>
      </w:r>
      <w:r>
        <w:rPr>
          <w:rFonts w:hint="eastAsia" w:ascii="仿宋" w:hAnsi="仿宋" w:eastAsia="仿宋"/>
          <w:sz w:val="24"/>
          <w:szCs w:val="24"/>
        </w:rPr>
        <w:t>（单位名称）法定代表人。现授权</w:t>
      </w:r>
      <w:r>
        <w:rPr>
          <w:rFonts w:hint="eastAsia" w:ascii="仿宋" w:hAnsi="仿宋" w:eastAsia="仿宋"/>
          <w:sz w:val="24"/>
          <w:szCs w:val="24"/>
          <w:u w:val="single"/>
        </w:rPr>
        <w:t xml:space="preserve">              </w:t>
      </w:r>
      <w:r>
        <w:rPr>
          <w:rFonts w:hint="eastAsia" w:ascii="仿宋" w:hAnsi="仿宋" w:eastAsia="仿宋"/>
          <w:sz w:val="24"/>
          <w:szCs w:val="24"/>
        </w:rPr>
        <w:t>（姓名）代理本公司参加</w:t>
      </w:r>
      <w:r>
        <w:rPr>
          <w:rFonts w:ascii="仿宋" w:hAnsi="仿宋" w:eastAsia="仿宋"/>
          <w:sz w:val="24"/>
          <w:szCs w:val="24"/>
          <w:u w:val="single"/>
        </w:rPr>
        <w:t>上海对外经贸大学松江</w:t>
      </w:r>
      <w:r>
        <w:rPr>
          <w:rFonts w:hint="eastAsia" w:ascii="仿宋" w:hAnsi="仿宋" w:eastAsia="仿宋"/>
          <w:sz w:val="24"/>
          <w:szCs w:val="24"/>
          <w:u w:val="single"/>
        </w:rPr>
        <w:t>学生</w:t>
      </w:r>
      <w:r>
        <w:rPr>
          <w:rFonts w:ascii="仿宋" w:hAnsi="仿宋" w:eastAsia="仿宋"/>
          <w:sz w:val="24"/>
          <w:szCs w:val="24"/>
          <w:u w:val="single"/>
        </w:rPr>
        <w:t>社区</w:t>
      </w:r>
      <w:r>
        <w:rPr>
          <w:rFonts w:hint="eastAsia" w:ascii="仿宋" w:hAnsi="仿宋" w:eastAsia="仿宋"/>
          <w:sz w:val="24"/>
          <w:szCs w:val="24"/>
          <w:u w:val="single"/>
        </w:rPr>
        <w:t xml:space="preserve">引进第三方电动自行车充电桩服务项目 </w:t>
      </w:r>
      <w:r>
        <w:rPr>
          <w:rFonts w:hint="eastAsia" w:ascii="仿宋" w:hAnsi="仿宋" w:eastAsia="仿宋"/>
          <w:sz w:val="24"/>
          <w:szCs w:val="24"/>
        </w:rPr>
        <w:t>的公开磋商。代理人在提交磋商响应文件、合同谈判过程所签署的一切文件和处理与之有关的一切事务，对本公司均有法律效力。</w:t>
      </w:r>
    </w:p>
    <w:p w14:paraId="7E1249FD">
      <w:pPr>
        <w:spacing w:line="360" w:lineRule="auto"/>
        <w:ind w:firstLine="480" w:firstLineChars="200"/>
        <w:rPr>
          <w:rFonts w:ascii="仿宋" w:hAnsi="仿宋" w:eastAsia="仿宋"/>
          <w:sz w:val="24"/>
          <w:szCs w:val="24"/>
        </w:rPr>
      </w:pPr>
      <w:r>
        <w:rPr>
          <w:rFonts w:hint="eastAsia" w:ascii="仿宋" w:hAnsi="仿宋" w:eastAsia="仿宋"/>
          <w:sz w:val="24"/>
          <w:szCs w:val="24"/>
        </w:rPr>
        <w:t>代理人无转委托权。</w:t>
      </w:r>
    </w:p>
    <w:p w14:paraId="6564DEC6">
      <w:pPr>
        <w:spacing w:line="360" w:lineRule="auto"/>
        <w:ind w:firstLine="480" w:firstLineChars="200"/>
        <w:rPr>
          <w:rFonts w:ascii="仿宋" w:hAnsi="仿宋" w:eastAsia="仿宋"/>
          <w:sz w:val="24"/>
          <w:szCs w:val="24"/>
        </w:rPr>
      </w:pPr>
      <w:r>
        <w:rPr>
          <w:rFonts w:hint="eastAsia" w:ascii="仿宋" w:hAnsi="仿宋" w:eastAsia="仿宋"/>
          <w:sz w:val="24"/>
          <w:szCs w:val="24"/>
        </w:rPr>
        <w:t>特此委托。</w:t>
      </w:r>
    </w:p>
    <w:p w14:paraId="5465A8AB">
      <w:pPr>
        <w:spacing w:line="360" w:lineRule="auto"/>
        <w:ind w:firstLine="480" w:firstLineChars="200"/>
        <w:rPr>
          <w:rFonts w:ascii="仿宋" w:hAnsi="仿宋" w:eastAsia="仿宋"/>
          <w:sz w:val="24"/>
          <w:szCs w:val="24"/>
        </w:rPr>
      </w:pPr>
      <w:r>
        <w:rPr>
          <w:rFonts w:hint="eastAsia" w:ascii="仿宋" w:hAnsi="仿宋" w:eastAsia="仿宋"/>
          <w:sz w:val="24"/>
          <w:szCs w:val="24"/>
        </w:rPr>
        <w:t>代理人：</w:t>
      </w:r>
      <w:r>
        <w:rPr>
          <w:rFonts w:hint="eastAsia" w:ascii="仿宋" w:hAnsi="仿宋" w:eastAsia="仿宋"/>
          <w:sz w:val="24"/>
          <w:szCs w:val="24"/>
          <w:u w:val="single"/>
        </w:rPr>
        <w:t xml:space="preserve">       </w:t>
      </w:r>
      <w:r>
        <w:rPr>
          <w:rFonts w:hint="eastAsia" w:ascii="仿宋" w:hAnsi="仿宋" w:eastAsia="仿宋"/>
          <w:sz w:val="24"/>
          <w:szCs w:val="24"/>
        </w:rPr>
        <w:t xml:space="preserve"> 职务：</w:t>
      </w:r>
      <w:r>
        <w:rPr>
          <w:rFonts w:hint="eastAsia" w:ascii="仿宋" w:hAnsi="仿宋" w:eastAsia="仿宋"/>
          <w:sz w:val="24"/>
          <w:szCs w:val="24"/>
          <w:u w:val="single"/>
        </w:rPr>
        <w:t xml:space="preserve">         </w:t>
      </w:r>
      <w:r>
        <w:rPr>
          <w:rFonts w:hint="eastAsia" w:ascii="仿宋" w:hAnsi="仿宋" w:eastAsia="仿宋"/>
          <w:sz w:val="24"/>
          <w:szCs w:val="24"/>
        </w:rPr>
        <w:t xml:space="preserve">  性别：</w:t>
      </w:r>
      <w:r>
        <w:rPr>
          <w:rFonts w:hint="eastAsia" w:ascii="仿宋" w:hAnsi="仿宋" w:eastAsia="仿宋"/>
          <w:sz w:val="24"/>
          <w:szCs w:val="24"/>
          <w:u w:val="single"/>
        </w:rPr>
        <w:t xml:space="preserve">    </w:t>
      </w:r>
      <w:r>
        <w:rPr>
          <w:rFonts w:hint="eastAsia" w:ascii="仿宋" w:hAnsi="仿宋" w:eastAsia="仿宋"/>
          <w:sz w:val="24"/>
          <w:szCs w:val="24"/>
        </w:rPr>
        <w:t xml:space="preserve"> 年龄：</w:t>
      </w:r>
      <w:r>
        <w:rPr>
          <w:rFonts w:hint="eastAsia" w:ascii="仿宋" w:hAnsi="仿宋" w:eastAsia="仿宋"/>
          <w:sz w:val="24"/>
          <w:szCs w:val="24"/>
          <w:u w:val="single"/>
        </w:rPr>
        <w:t xml:space="preserve">    </w:t>
      </w:r>
      <w:r>
        <w:rPr>
          <w:rFonts w:hint="eastAsia" w:ascii="仿宋" w:hAnsi="仿宋" w:eastAsia="仿宋"/>
          <w:sz w:val="24"/>
          <w:szCs w:val="24"/>
        </w:rPr>
        <w:t xml:space="preserve"> </w:t>
      </w:r>
    </w:p>
    <w:p w14:paraId="598940AB">
      <w:pPr>
        <w:spacing w:line="360" w:lineRule="auto"/>
        <w:ind w:firstLine="480" w:firstLineChars="200"/>
        <w:rPr>
          <w:rFonts w:ascii="仿宋" w:hAnsi="仿宋" w:eastAsia="仿宋"/>
          <w:sz w:val="24"/>
          <w:szCs w:val="24"/>
          <w:u w:val="single"/>
        </w:rPr>
      </w:pPr>
      <w:r>
        <w:rPr>
          <w:rFonts w:hint="eastAsia" w:ascii="仿宋" w:hAnsi="仿宋" w:eastAsia="仿宋"/>
          <w:sz w:val="24"/>
          <w:szCs w:val="24"/>
        </w:rPr>
        <w:t>身份证号：</w:t>
      </w:r>
      <w:r>
        <w:rPr>
          <w:rFonts w:hint="eastAsia" w:ascii="仿宋" w:hAnsi="仿宋" w:eastAsia="仿宋"/>
          <w:sz w:val="24"/>
          <w:szCs w:val="24"/>
          <w:u w:val="single"/>
        </w:rPr>
        <w:t xml:space="preserve">                  </w:t>
      </w:r>
    </w:p>
    <w:p w14:paraId="0563E0F8">
      <w:pPr>
        <w:spacing w:line="360" w:lineRule="auto"/>
        <w:ind w:firstLine="480" w:firstLineChars="200"/>
        <w:rPr>
          <w:rFonts w:ascii="仿宋" w:hAnsi="仿宋" w:eastAsia="仿宋"/>
          <w:sz w:val="24"/>
          <w:szCs w:val="24"/>
          <w:u w:val="single"/>
        </w:rPr>
      </w:pPr>
      <w:r>
        <w:rPr>
          <w:rFonts w:hint="eastAsia" w:ascii="仿宋" w:hAnsi="仿宋" w:eastAsia="仿宋"/>
          <w:sz w:val="24"/>
          <w:szCs w:val="24"/>
        </w:rPr>
        <w:t>固定电话：</w:t>
      </w:r>
      <w:r>
        <w:rPr>
          <w:rFonts w:hint="eastAsia" w:ascii="仿宋" w:hAnsi="仿宋" w:eastAsia="仿宋"/>
          <w:sz w:val="24"/>
          <w:szCs w:val="24"/>
          <w:u w:val="single"/>
        </w:rPr>
        <w:t xml:space="preserve">                  </w:t>
      </w:r>
    </w:p>
    <w:p w14:paraId="4B4CF9ED">
      <w:pPr>
        <w:spacing w:line="360" w:lineRule="auto"/>
        <w:ind w:firstLine="480" w:firstLineChars="200"/>
        <w:rPr>
          <w:rFonts w:ascii="仿宋" w:hAnsi="仿宋" w:eastAsia="仿宋"/>
          <w:sz w:val="24"/>
          <w:szCs w:val="24"/>
          <w:u w:val="single"/>
        </w:rPr>
      </w:pPr>
      <w:r>
        <w:rPr>
          <w:rFonts w:hint="eastAsia" w:ascii="仿宋" w:hAnsi="仿宋" w:eastAsia="仿宋"/>
          <w:sz w:val="24"/>
          <w:szCs w:val="24"/>
        </w:rPr>
        <w:t>手    机：</w:t>
      </w:r>
      <w:r>
        <w:rPr>
          <w:rFonts w:hint="eastAsia" w:ascii="仿宋" w:hAnsi="仿宋" w:eastAsia="仿宋"/>
          <w:sz w:val="24"/>
          <w:szCs w:val="24"/>
          <w:u w:val="single"/>
        </w:rPr>
        <w:t xml:space="preserve">                  </w:t>
      </w:r>
    </w:p>
    <w:p w14:paraId="4689DBE0">
      <w:pPr>
        <w:spacing w:line="360" w:lineRule="auto"/>
        <w:ind w:firstLine="480" w:firstLineChars="200"/>
        <w:rPr>
          <w:rFonts w:ascii="仿宋" w:hAnsi="仿宋" w:eastAsia="仿宋"/>
          <w:sz w:val="24"/>
          <w:szCs w:val="24"/>
          <w:u w:val="single"/>
        </w:rPr>
      </w:pPr>
    </w:p>
    <w:p w14:paraId="6948F99F">
      <w:pPr>
        <w:spacing w:line="360" w:lineRule="auto"/>
        <w:ind w:firstLine="480" w:firstLineChars="200"/>
        <w:rPr>
          <w:rFonts w:ascii="仿宋" w:hAnsi="仿宋" w:eastAsia="仿宋"/>
          <w:sz w:val="24"/>
          <w:szCs w:val="24"/>
          <w:u w:val="single"/>
        </w:rPr>
      </w:pPr>
      <w:r>
        <w:rPr>
          <w:rFonts w:hint="eastAsia" w:ascii="仿宋" w:hAnsi="仿宋" w:eastAsia="仿宋"/>
          <w:sz w:val="24"/>
          <w:szCs w:val="24"/>
        </w:rPr>
        <w:t>报价单位（盖章）：</w:t>
      </w:r>
      <w:r>
        <w:rPr>
          <w:rFonts w:hint="eastAsia" w:ascii="仿宋" w:hAnsi="仿宋" w:eastAsia="仿宋"/>
          <w:sz w:val="24"/>
          <w:szCs w:val="24"/>
          <w:u w:val="single"/>
        </w:rPr>
        <w:t xml:space="preserve">                             </w:t>
      </w:r>
    </w:p>
    <w:p w14:paraId="7FF6D602">
      <w:pPr>
        <w:spacing w:line="360" w:lineRule="auto"/>
        <w:ind w:firstLine="480" w:firstLineChars="200"/>
        <w:rPr>
          <w:rFonts w:ascii="仿宋" w:hAnsi="仿宋" w:eastAsia="仿宋"/>
          <w:sz w:val="24"/>
          <w:szCs w:val="24"/>
          <w:u w:val="single"/>
        </w:rPr>
      </w:pPr>
      <w:r>
        <w:rPr>
          <w:rFonts w:hint="eastAsia" w:ascii="仿宋" w:hAnsi="仿宋" w:eastAsia="仿宋"/>
          <w:sz w:val="24"/>
          <w:szCs w:val="24"/>
        </w:rPr>
        <w:t>法定代表人（签字）：</w:t>
      </w:r>
      <w:r>
        <w:rPr>
          <w:rFonts w:hint="eastAsia" w:ascii="仿宋" w:hAnsi="仿宋" w:eastAsia="仿宋"/>
          <w:sz w:val="24"/>
          <w:szCs w:val="24"/>
          <w:u w:val="single"/>
        </w:rPr>
        <w:t xml:space="preserve">                           </w:t>
      </w:r>
    </w:p>
    <w:p w14:paraId="0313DF21">
      <w:pPr>
        <w:spacing w:line="360" w:lineRule="auto"/>
        <w:ind w:firstLine="480" w:firstLineChars="200"/>
        <w:rPr>
          <w:rFonts w:ascii="仿宋" w:hAnsi="仿宋" w:eastAsia="仿宋"/>
          <w:sz w:val="24"/>
          <w:szCs w:val="24"/>
        </w:rPr>
      </w:pPr>
      <w:r>
        <w:rPr>
          <w:rFonts w:hint="eastAsia" w:ascii="仿宋" w:hAnsi="仿宋" w:eastAsia="仿宋"/>
          <w:sz w:val="24"/>
          <w:szCs w:val="24"/>
        </w:rPr>
        <w:t>日期：</w:t>
      </w:r>
      <w:r>
        <w:rPr>
          <w:rFonts w:hint="eastAsia" w:ascii="仿宋" w:hAnsi="仿宋" w:eastAsia="仿宋"/>
          <w:sz w:val="24"/>
          <w:szCs w:val="24"/>
          <w:u w:val="single"/>
        </w:rPr>
        <w:t xml:space="preserve">         </w:t>
      </w:r>
      <w:r>
        <w:rPr>
          <w:rFonts w:hint="eastAsia" w:ascii="仿宋" w:hAnsi="仿宋" w:eastAsia="仿宋"/>
          <w:sz w:val="24"/>
          <w:szCs w:val="24"/>
        </w:rPr>
        <w:t>年</w:t>
      </w:r>
      <w:r>
        <w:rPr>
          <w:rFonts w:hint="eastAsia" w:ascii="仿宋" w:hAnsi="仿宋" w:eastAsia="仿宋"/>
          <w:sz w:val="24"/>
          <w:szCs w:val="24"/>
          <w:u w:val="single"/>
        </w:rPr>
        <w:t xml:space="preserve">     </w:t>
      </w:r>
      <w:r>
        <w:rPr>
          <w:rFonts w:hint="eastAsia" w:ascii="仿宋" w:hAnsi="仿宋" w:eastAsia="仿宋"/>
          <w:sz w:val="24"/>
          <w:szCs w:val="24"/>
        </w:rPr>
        <w:t>月</w:t>
      </w:r>
      <w:r>
        <w:rPr>
          <w:rFonts w:hint="eastAsia" w:ascii="仿宋" w:hAnsi="仿宋" w:eastAsia="仿宋"/>
          <w:sz w:val="24"/>
          <w:szCs w:val="24"/>
          <w:u w:val="single"/>
        </w:rPr>
        <w:t xml:space="preserve">     </w:t>
      </w:r>
      <w:r>
        <w:rPr>
          <w:rFonts w:hint="eastAsia" w:ascii="仿宋" w:hAnsi="仿宋" w:eastAsia="仿宋"/>
          <w:sz w:val="24"/>
          <w:szCs w:val="24"/>
        </w:rPr>
        <w:t>日</w:t>
      </w:r>
    </w:p>
    <w:p w14:paraId="3124E134">
      <w:pPr>
        <w:spacing w:line="460" w:lineRule="exact"/>
        <w:rPr>
          <w:rFonts w:ascii="仿宋" w:hAnsi="仿宋" w:eastAsia="仿宋"/>
          <w:sz w:val="24"/>
          <w:szCs w:val="24"/>
        </w:rPr>
      </w:pPr>
      <w:r>
        <w:rPr>
          <w:rFonts w:hint="eastAsia" w:ascii="Calibri" w:hAnsi="Calibri" w:eastAsia="宋体"/>
          <w:sz w:val="32"/>
          <w:szCs w:val="20"/>
        </w:rPr>
        <mc:AlternateContent>
          <mc:Choice Requires="wps">
            <w:drawing>
              <wp:anchor distT="0" distB="0" distL="114300" distR="114300" simplePos="0" relativeHeight="251659264" behindDoc="0" locked="0" layoutInCell="1" allowOverlap="1">
                <wp:simplePos x="0" y="0"/>
                <wp:positionH relativeFrom="column">
                  <wp:posOffset>273685</wp:posOffset>
                </wp:positionH>
                <wp:positionV relativeFrom="paragraph">
                  <wp:posOffset>286385</wp:posOffset>
                </wp:positionV>
                <wp:extent cx="2489200" cy="1722120"/>
                <wp:effectExtent l="0" t="0" r="25400" b="1143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2489200" cy="1722120"/>
                        </a:xfrm>
                        <a:prstGeom prst="rect">
                          <a:avLst/>
                        </a:prstGeom>
                        <a:solidFill>
                          <a:srgbClr val="FFFFFF"/>
                        </a:solidFill>
                        <a:ln w="9525">
                          <a:solidFill>
                            <a:srgbClr val="000000"/>
                          </a:solidFill>
                          <a:miter lim="800000"/>
                        </a:ln>
                      </wps:spPr>
                      <wps:txbx>
                        <w:txbxContent>
                          <w:p w14:paraId="746216D4"/>
                          <w:p w14:paraId="3405ACE2">
                            <w:pPr>
                              <w:rPr>
                                <w:sz w:val="24"/>
                                <w:szCs w:val="24"/>
                              </w:rPr>
                            </w:pPr>
                            <w:r>
                              <w:rPr>
                                <w:rFonts w:hint="eastAsia"/>
                                <w:sz w:val="24"/>
                                <w:szCs w:val="24"/>
                              </w:rPr>
                              <w:t>请粘贴法定代表人身份证正反面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1.55pt;margin-top:22.55pt;height:135.6pt;width:196pt;z-index:251659264;mso-width-relative:page;mso-height-relative:page;" fillcolor="#FFFFFF" filled="t" stroked="t" coordsize="21600,21600" o:gfxdata="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Aofg9bXAAAACQEAAA8AAAAAAAAAAQAgAAAAIgAA&#10;AGRycy9kb3ducmV2LnhtbFBLAQIUABQAAAAIAIdO4kBVra68QgIAAIgEAAAOAAAAAAAAAAEAIAAA&#10;ACYBAABkcnMvZTJvRG9jLnhtbFBLBQYAAAAABgAGAFkBAADaBQAAAAA=&#10;">
                <v:fill on="t" focussize="0,0"/>
                <v:stroke color="#000000" miterlimit="8" joinstyle="miter"/>
                <v:imagedata o:title=""/>
                <o:lock v:ext="edit" aspectratio="f"/>
                <v:textbox>
                  <w:txbxContent>
                    <w:p w14:paraId="746216D4"/>
                    <w:p w14:paraId="3405ACE2">
                      <w:pPr>
                        <w:rPr>
                          <w:sz w:val="24"/>
                          <w:szCs w:val="24"/>
                        </w:rPr>
                      </w:pPr>
                      <w:r>
                        <w:rPr>
                          <w:rFonts w:hint="eastAsia"/>
                          <w:sz w:val="24"/>
                          <w:szCs w:val="24"/>
                        </w:rPr>
                        <w:t>请粘贴法定代表人身份证正反面</w:t>
                      </w:r>
                    </w:p>
                  </w:txbxContent>
                </v:textbox>
              </v:shape>
            </w:pict>
          </mc:Fallback>
        </mc:AlternateContent>
      </w:r>
    </w:p>
    <w:p w14:paraId="60B92094">
      <w:pPr>
        <w:spacing w:line="460" w:lineRule="exact"/>
        <w:rPr>
          <w:rFonts w:ascii="仿宋" w:hAnsi="仿宋" w:eastAsia="仿宋"/>
          <w:sz w:val="24"/>
          <w:szCs w:val="24"/>
        </w:rPr>
      </w:pPr>
      <w:r>
        <w:rPr>
          <w:rFonts w:hint="eastAsia" w:ascii="Calibri" w:hAnsi="Calibri" w:eastAsia="宋体"/>
          <w:sz w:val="32"/>
          <w:szCs w:val="20"/>
        </w:rPr>
        <mc:AlternateContent>
          <mc:Choice Requires="wps">
            <w:drawing>
              <wp:anchor distT="0" distB="0" distL="114300" distR="114300" simplePos="0" relativeHeight="251660288" behindDoc="0" locked="0" layoutInCell="1" allowOverlap="1">
                <wp:simplePos x="0" y="0"/>
                <wp:positionH relativeFrom="column">
                  <wp:posOffset>2816860</wp:posOffset>
                </wp:positionH>
                <wp:positionV relativeFrom="paragraph">
                  <wp:posOffset>12065</wp:posOffset>
                </wp:positionV>
                <wp:extent cx="2395855" cy="1722120"/>
                <wp:effectExtent l="0" t="0" r="23495"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395855" cy="1722120"/>
                        </a:xfrm>
                        <a:prstGeom prst="rect">
                          <a:avLst/>
                        </a:prstGeom>
                        <a:solidFill>
                          <a:srgbClr val="FFFFFF"/>
                        </a:solidFill>
                        <a:ln w="9525">
                          <a:solidFill>
                            <a:srgbClr val="000000"/>
                          </a:solidFill>
                          <a:miter lim="800000"/>
                        </a:ln>
                      </wps:spPr>
                      <wps:txbx>
                        <w:txbxContent>
                          <w:p w14:paraId="727459FB"/>
                          <w:p w14:paraId="422B591A">
                            <w:pPr>
                              <w:rPr>
                                <w:sz w:val="24"/>
                                <w:szCs w:val="24"/>
                              </w:rPr>
                            </w:pPr>
                            <w:r>
                              <w:rPr>
                                <w:rFonts w:hint="eastAsia"/>
                                <w:sz w:val="24"/>
                                <w:szCs w:val="24"/>
                              </w:rPr>
                              <w:t>请粘贴被授权人身份证正反面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21.8pt;margin-top:0.95pt;height:135.6pt;width:188.65pt;z-index:251660288;mso-width-relative:page;mso-height-relative:page;" fillcolor="#FFFFFF" filled="t" stroked="t" coordsize="21600,21600" o:gfxdata="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JGFnj9gAAAAJAQAADwAAAAAAAAABACAAAAAi&#10;AAAAZHJzL2Rvd25yZXYueG1sUEsBAhQAFAAAAAgAh07iQK6LPYxDAgAAiAQAAA4AAAAAAAAAAQAg&#10;AAAAJwEAAGRycy9lMm9Eb2MueG1sUEsFBgAAAAAGAAYAWQEAANwFAAAAAA==&#10;">
                <v:fill on="t" focussize="0,0"/>
                <v:stroke color="#000000" miterlimit="8" joinstyle="miter"/>
                <v:imagedata o:title=""/>
                <o:lock v:ext="edit" aspectratio="f"/>
                <v:textbox>
                  <w:txbxContent>
                    <w:p w14:paraId="727459FB"/>
                    <w:p w14:paraId="422B591A">
                      <w:pPr>
                        <w:rPr>
                          <w:sz w:val="24"/>
                          <w:szCs w:val="24"/>
                        </w:rPr>
                      </w:pPr>
                      <w:r>
                        <w:rPr>
                          <w:rFonts w:hint="eastAsia"/>
                          <w:sz w:val="24"/>
                          <w:szCs w:val="24"/>
                        </w:rPr>
                        <w:t>请粘贴被授权人身份证正反面</w:t>
                      </w:r>
                    </w:p>
                  </w:txbxContent>
                </v:textbox>
              </v:shape>
            </w:pict>
          </mc:Fallback>
        </mc:AlternateContent>
      </w:r>
    </w:p>
    <w:p w14:paraId="05E7BB7B">
      <w:pPr>
        <w:spacing w:line="460" w:lineRule="exact"/>
        <w:ind w:firstLine="480" w:firstLineChars="200"/>
        <w:rPr>
          <w:rFonts w:ascii="仿宋" w:hAnsi="仿宋" w:eastAsia="仿宋"/>
          <w:sz w:val="24"/>
          <w:szCs w:val="24"/>
        </w:rPr>
      </w:pPr>
    </w:p>
    <w:p w14:paraId="364C001D">
      <w:pPr>
        <w:spacing w:line="460" w:lineRule="exact"/>
        <w:ind w:firstLine="480" w:firstLineChars="200"/>
        <w:rPr>
          <w:rFonts w:ascii="仿宋" w:hAnsi="仿宋" w:eastAsia="仿宋"/>
          <w:sz w:val="24"/>
          <w:szCs w:val="24"/>
        </w:rPr>
      </w:pPr>
    </w:p>
    <w:p w14:paraId="42D19113">
      <w:pPr>
        <w:spacing w:line="460" w:lineRule="exact"/>
        <w:ind w:firstLine="480" w:firstLineChars="200"/>
        <w:rPr>
          <w:rFonts w:ascii="Calibri" w:hAnsi="Calibri" w:eastAsia="宋体"/>
          <w:sz w:val="24"/>
          <w:szCs w:val="24"/>
        </w:rPr>
      </w:pPr>
    </w:p>
    <w:p w14:paraId="3A26EA59">
      <w:pPr>
        <w:spacing w:line="460" w:lineRule="exact"/>
        <w:ind w:firstLine="480" w:firstLineChars="200"/>
        <w:rPr>
          <w:sz w:val="24"/>
          <w:szCs w:val="24"/>
        </w:rPr>
      </w:pPr>
    </w:p>
    <w:p w14:paraId="17371699">
      <w:pPr>
        <w:spacing w:line="460" w:lineRule="exact"/>
        <w:ind w:firstLine="480" w:firstLineChars="200"/>
        <w:rPr>
          <w:sz w:val="24"/>
          <w:szCs w:val="24"/>
        </w:rPr>
      </w:pPr>
    </w:p>
    <w:p w14:paraId="3DEE4CA3">
      <w:pPr>
        <w:spacing w:line="460" w:lineRule="exact"/>
        <w:rPr>
          <w:sz w:val="24"/>
          <w:szCs w:val="24"/>
        </w:rPr>
      </w:pPr>
    </w:p>
    <w:p w14:paraId="13128C5C">
      <w:pPr>
        <w:widowControl/>
        <w:jc w:val="left"/>
        <w:rPr>
          <w:rFonts w:ascii="宋体" w:hAnsi="宋体"/>
          <w:b/>
          <w:kern w:val="0"/>
          <w:sz w:val="24"/>
        </w:rPr>
        <w:sectPr>
          <w:pgSz w:w="11906" w:h="16838"/>
          <w:pgMar w:top="1440" w:right="1797" w:bottom="1440" w:left="1797" w:header="851" w:footer="992" w:gutter="0"/>
          <w:cols w:space="720" w:num="1"/>
        </w:sectPr>
      </w:pPr>
    </w:p>
    <w:p w14:paraId="1959083E">
      <w:pPr>
        <w:pStyle w:val="6"/>
        <w:spacing w:beforeAutospacing="0" w:afterAutospacing="0" w:line="360" w:lineRule="auto"/>
        <w:jc w:val="both"/>
        <w:rPr>
          <w:b/>
          <w:bCs/>
        </w:rPr>
      </w:pPr>
      <w:r>
        <w:rPr>
          <w:rFonts w:hint="eastAsia"/>
          <w:b/>
          <w:bCs/>
        </w:rPr>
        <w:t>附件三：服务价目确认表</w:t>
      </w:r>
    </w:p>
    <w:p w14:paraId="08AC0560">
      <w:pPr>
        <w:pStyle w:val="6"/>
        <w:spacing w:beforeAutospacing="0" w:afterAutospacing="0" w:line="360" w:lineRule="auto"/>
        <w:jc w:val="both"/>
        <w:rPr>
          <w:rFonts w:ascii="仿宋" w:hAnsi="仿宋" w:eastAsia="仿宋"/>
          <w:sz w:val="28"/>
          <w:szCs w:val="28"/>
        </w:rPr>
      </w:pPr>
    </w:p>
    <w:p w14:paraId="488CB535">
      <w:pPr>
        <w:pStyle w:val="6"/>
        <w:spacing w:beforeAutospacing="0" w:afterAutospacing="0" w:line="360" w:lineRule="auto"/>
        <w:jc w:val="center"/>
        <w:rPr>
          <w:rFonts w:ascii="仿宋" w:hAnsi="仿宋" w:eastAsia="仿宋"/>
          <w:b/>
          <w:sz w:val="28"/>
          <w:szCs w:val="28"/>
        </w:rPr>
      </w:pPr>
      <w:r>
        <w:rPr>
          <w:rFonts w:hint="eastAsia" w:ascii="仿宋" w:hAnsi="仿宋" w:eastAsia="仿宋"/>
          <w:b/>
          <w:sz w:val="28"/>
          <w:szCs w:val="28"/>
        </w:rPr>
        <w:t>服务价目确认表</w:t>
      </w:r>
    </w:p>
    <w:p w14:paraId="2426DED7">
      <w:pPr>
        <w:tabs>
          <w:tab w:val="left" w:pos="12285"/>
        </w:tabs>
        <w:spacing w:line="360" w:lineRule="auto"/>
        <w:rPr>
          <w:rFonts w:ascii="仿宋" w:hAnsi="仿宋" w:eastAsia="仿宋"/>
          <w:kern w:val="0"/>
          <w:sz w:val="24"/>
          <w:szCs w:val="24"/>
        </w:rPr>
      </w:pPr>
      <w:r>
        <w:rPr>
          <w:rFonts w:hint="eastAsia" w:ascii="仿宋" w:hAnsi="仿宋" w:eastAsia="仿宋"/>
          <w:kern w:val="0"/>
          <w:sz w:val="24"/>
          <w:szCs w:val="24"/>
        </w:rPr>
        <w:t>项目名称：</w:t>
      </w:r>
      <w:r>
        <w:rPr>
          <w:rFonts w:ascii="仿宋" w:hAnsi="仿宋" w:eastAsia="仿宋"/>
          <w:kern w:val="0"/>
          <w:sz w:val="24"/>
          <w:szCs w:val="24"/>
          <w:u w:val="single"/>
        </w:rPr>
        <w:t>上海对外经贸大学松江</w:t>
      </w:r>
      <w:r>
        <w:rPr>
          <w:rFonts w:hint="eastAsia" w:ascii="仿宋" w:hAnsi="仿宋" w:eastAsia="仿宋"/>
          <w:kern w:val="0"/>
          <w:sz w:val="24"/>
          <w:szCs w:val="24"/>
          <w:u w:val="single"/>
        </w:rPr>
        <w:t>学生</w:t>
      </w:r>
      <w:r>
        <w:rPr>
          <w:rFonts w:ascii="仿宋" w:hAnsi="仿宋" w:eastAsia="仿宋"/>
          <w:kern w:val="0"/>
          <w:sz w:val="24"/>
          <w:szCs w:val="24"/>
          <w:u w:val="single"/>
        </w:rPr>
        <w:t>社区</w:t>
      </w:r>
      <w:r>
        <w:rPr>
          <w:rFonts w:hint="eastAsia" w:ascii="仿宋" w:hAnsi="仿宋" w:eastAsia="仿宋"/>
          <w:kern w:val="0"/>
          <w:sz w:val="24"/>
          <w:szCs w:val="24"/>
          <w:u w:val="single"/>
        </w:rPr>
        <w:t xml:space="preserve">引进第三方电动自行车充电桩服务项目 </w:t>
      </w:r>
    </w:p>
    <w:tbl>
      <w:tblPr>
        <w:tblStyle w:val="7"/>
        <w:tblW w:w="0" w:type="auto"/>
        <w:tblInd w:w="1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5"/>
        <w:gridCol w:w="5528"/>
      </w:tblGrid>
      <w:tr w14:paraId="0B2DC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2505" w:type="dxa"/>
            <w:tcBorders>
              <w:top w:val="single" w:color="auto" w:sz="4" w:space="0"/>
              <w:left w:val="single" w:color="auto" w:sz="4" w:space="0"/>
              <w:bottom w:val="single" w:color="auto" w:sz="4" w:space="0"/>
              <w:right w:val="single" w:color="auto" w:sz="4" w:space="0"/>
            </w:tcBorders>
            <w:vAlign w:val="center"/>
          </w:tcPr>
          <w:p w14:paraId="0858C0DF">
            <w:pPr>
              <w:ind w:left="-76"/>
              <w:jc w:val="center"/>
              <w:rPr>
                <w:rFonts w:ascii="宋体" w:hAnsi="宋体" w:eastAsia="宋体" w:cs="宋体"/>
                <w:sz w:val="24"/>
                <w:szCs w:val="24"/>
              </w:rPr>
            </w:pPr>
            <w:r>
              <w:rPr>
                <w:rFonts w:hint="eastAsia" w:ascii="宋体" w:hAnsi="宋体" w:cs="宋体"/>
                <w:sz w:val="24"/>
                <w:szCs w:val="24"/>
              </w:rPr>
              <w:t>服务项目</w:t>
            </w:r>
          </w:p>
        </w:tc>
        <w:tc>
          <w:tcPr>
            <w:tcW w:w="5528" w:type="dxa"/>
            <w:tcBorders>
              <w:top w:val="single" w:color="auto" w:sz="4" w:space="0"/>
              <w:left w:val="single" w:color="auto" w:sz="4" w:space="0"/>
              <w:bottom w:val="single" w:color="auto" w:sz="4" w:space="0"/>
              <w:right w:val="single" w:color="auto" w:sz="4" w:space="0"/>
            </w:tcBorders>
            <w:vAlign w:val="center"/>
          </w:tcPr>
          <w:p w14:paraId="4F596CE7">
            <w:pPr>
              <w:ind w:left="-76"/>
              <w:jc w:val="center"/>
              <w:rPr>
                <w:rFonts w:ascii="宋体" w:hAnsi="宋体" w:cs="宋体"/>
                <w:sz w:val="24"/>
                <w:szCs w:val="24"/>
              </w:rPr>
            </w:pPr>
            <w:r>
              <w:rPr>
                <w:rFonts w:hint="eastAsia" w:ascii="宋体" w:hAnsi="宋体" w:cs="宋体"/>
                <w:sz w:val="24"/>
                <w:szCs w:val="24"/>
              </w:rPr>
              <w:t>价格</w:t>
            </w:r>
          </w:p>
        </w:tc>
      </w:tr>
      <w:tr w14:paraId="7D2B4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505" w:type="dxa"/>
            <w:tcBorders>
              <w:top w:val="single" w:color="auto" w:sz="4" w:space="0"/>
              <w:left w:val="single" w:color="auto" w:sz="4" w:space="0"/>
              <w:bottom w:val="single" w:color="auto" w:sz="4" w:space="0"/>
              <w:right w:val="single" w:color="auto" w:sz="4" w:space="0"/>
            </w:tcBorders>
            <w:vAlign w:val="center"/>
          </w:tcPr>
          <w:p w14:paraId="5FD53DA2">
            <w:pPr>
              <w:ind w:left="-76"/>
              <w:jc w:val="center"/>
              <w:rPr>
                <w:rFonts w:ascii="宋体" w:hAnsi="宋体" w:cs="宋体"/>
                <w:sz w:val="24"/>
                <w:szCs w:val="24"/>
              </w:rPr>
            </w:pPr>
            <w:r>
              <w:rPr>
                <w:rFonts w:hint="eastAsia" w:ascii="宋体" w:hAnsi="宋体" w:cs="宋体"/>
                <w:sz w:val="24"/>
                <w:szCs w:val="24"/>
              </w:rPr>
              <w:t>学生充电费</w:t>
            </w:r>
          </w:p>
        </w:tc>
        <w:tc>
          <w:tcPr>
            <w:tcW w:w="5528" w:type="dxa"/>
            <w:tcBorders>
              <w:top w:val="single" w:color="auto" w:sz="4" w:space="0"/>
              <w:left w:val="single" w:color="auto" w:sz="4" w:space="0"/>
              <w:bottom w:val="single" w:color="auto" w:sz="4" w:space="0"/>
              <w:right w:val="single" w:color="auto" w:sz="4" w:space="0"/>
            </w:tcBorders>
            <w:vAlign w:val="center"/>
          </w:tcPr>
          <w:p w14:paraId="38FF346E">
            <w:pPr>
              <w:jc w:val="center"/>
              <w:rPr>
                <w:rFonts w:ascii="宋体" w:hAnsi="宋体" w:cs="Times New Roman"/>
                <w:bCs/>
                <w:sz w:val="24"/>
                <w:szCs w:val="24"/>
              </w:rPr>
            </w:pPr>
            <w:r>
              <w:rPr>
                <w:rFonts w:hint="eastAsia" w:ascii="宋体" w:hAnsi="宋体" w:cs="宋体"/>
                <w:sz w:val="24"/>
                <w:szCs w:val="24"/>
              </w:rPr>
              <w:t>每小时0.15元</w:t>
            </w:r>
          </w:p>
        </w:tc>
      </w:tr>
    </w:tbl>
    <w:p w14:paraId="5A36054F">
      <w:pPr>
        <w:spacing w:line="360" w:lineRule="auto"/>
        <w:ind w:firstLine="560" w:firstLineChars="200"/>
        <w:rPr>
          <w:rFonts w:ascii="宋体" w:hAnsi="宋体" w:cs="Times New Roman"/>
          <w:sz w:val="28"/>
          <w:szCs w:val="28"/>
        </w:rPr>
      </w:pPr>
    </w:p>
    <w:p w14:paraId="7FBDD949">
      <w:pPr>
        <w:spacing w:line="360" w:lineRule="auto"/>
        <w:ind w:firstLine="480" w:firstLineChars="200"/>
        <w:rPr>
          <w:rFonts w:ascii="仿宋" w:hAnsi="仿宋" w:eastAsia="仿宋"/>
          <w:sz w:val="24"/>
          <w:szCs w:val="24"/>
          <w:u w:val="single"/>
        </w:rPr>
      </w:pPr>
      <w:r>
        <w:rPr>
          <w:rFonts w:hint="eastAsia" w:ascii="仿宋" w:hAnsi="仿宋" w:eastAsia="仿宋"/>
          <w:sz w:val="24"/>
          <w:szCs w:val="24"/>
        </w:rPr>
        <w:t>报价单位（盖章）：</w:t>
      </w:r>
      <w:r>
        <w:rPr>
          <w:rFonts w:hint="eastAsia" w:ascii="仿宋" w:hAnsi="仿宋" w:eastAsia="仿宋"/>
          <w:sz w:val="24"/>
          <w:szCs w:val="24"/>
          <w:u w:val="single"/>
        </w:rPr>
        <w:t xml:space="preserve">                             </w:t>
      </w:r>
    </w:p>
    <w:p w14:paraId="5F935BF8">
      <w:pPr>
        <w:spacing w:line="360" w:lineRule="auto"/>
        <w:ind w:firstLine="480" w:firstLineChars="200"/>
        <w:rPr>
          <w:rFonts w:ascii="仿宋" w:hAnsi="仿宋" w:eastAsia="仿宋"/>
          <w:sz w:val="24"/>
          <w:szCs w:val="24"/>
          <w:u w:val="single"/>
        </w:rPr>
      </w:pPr>
      <w:r>
        <w:rPr>
          <w:rFonts w:hint="eastAsia" w:ascii="仿宋" w:hAnsi="仿宋" w:eastAsia="仿宋"/>
          <w:sz w:val="24"/>
          <w:szCs w:val="24"/>
        </w:rPr>
        <w:t>法定代表人或授权委托人（签字）：</w:t>
      </w:r>
      <w:r>
        <w:rPr>
          <w:rFonts w:hint="eastAsia" w:ascii="仿宋" w:hAnsi="仿宋" w:eastAsia="仿宋"/>
          <w:sz w:val="24"/>
          <w:szCs w:val="24"/>
          <w:u w:val="single"/>
        </w:rPr>
        <w:t xml:space="preserve">               </w:t>
      </w:r>
    </w:p>
    <w:p w14:paraId="7140DF89">
      <w:pPr>
        <w:spacing w:line="360" w:lineRule="auto"/>
        <w:ind w:firstLine="480" w:firstLineChars="200"/>
        <w:rPr>
          <w:rFonts w:ascii="仿宋" w:hAnsi="仿宋" w:eastAsia="仿宋"/>
          <w:sz w:val="24"/>
          <w:szCs w:val="24"/>
        </w:rPr>
      </w:pPr>
      <w:r>
        <w:rPr>
          <w:rFonts w:hint="eastAsia" w:ascii="仿宋" w:hAnsi="仿宋" w:eastAsia="仿宋"/>
          <w:sz w:val="24"/>
          <w:szCs w:val="24"/>
        </w:rPr>
        <w:t>日期：</w:t>
      </w:r>
      <w:r>
        <w:rPr>
          <w:rFonts w:hint="eastAsia" w:ascii="仿宋" w:hAnsi="仿宋" w:eastAsia="仿宋"/>
          <w:sz w:val="24"/>
          <w:szCs w:val="24"/>
          <w:u w:val="single"/>
        </w:rPr>
        <w:t xml:space="preserve">         </w:t>
      </w:r>
      <w:r>
        <w:rPr>
          <w:rFonts w:hint="eastAsia" w:ascii="仿宋" w:hAnsi="仿宋" w:eastAsia="仿宋"/>
          <w:sz w:val="24"/>
          <w:szCs w:val="24"/>
        </w:rPr>
        <w:t>年</w:t>
      </w:r>
      <w:r>
        <w:rPr>
          <w:rFonts w:hint="eastAsia" w:ascii="仿宋" w:hAnsi="仿宋" w:eastAsia="仿宋"/>
          <w:sz w:val="24"/>
          <w:szCs w:val="24"/>
          <w:u w:val="single"/>
        </w:rPr>
        <w:t xml:space="preserve">     </w:t>
      </w:r>
      <w:r>
        <w:rPr>
          <w:rFonts w:hint="eastAsia" w:ascii="仿宋" w:hAnsi="仿宋" w:eastAsia="仿宋"/>
          <w:sz w:val="24"/>
          <w:szCs w:val="24"/>
        </w:rPr>
        <w:t>月</w:t>
      </w:r>
      <w:r>
        <w:rPr>
          <w:rFonts w:hint="eastAsia" w:ascii="仿宋" w:hAnsi="仿宋" w:eastAsia="仿宋"/>
          <w:sz w:val="24"/>
          <w:szCs w:val="24"/>
          <w:u w:val="single"/>
        </w:rPr>
        <w:t xml:space="preserve">     </w:t>
      </w:r>
      <w:r>
        <w:rPr>
          <w:rFonts w:hint="eastAsia" w:ascii="仿宋" w:hAnsi="仿宋" w:eastAsia="仿宋"/>
          <w:sz w:val="24"/>
          <w:szCs w:val="24"/>
        </w:rPr>
        <w:t>日</w:t>
      </w:r>
    </w:p>
    <w:p w14:paraId="72F303B0">
      <w:pPr>
        <w:widowControl/>
        <w:spacing w:line="360" w:lineRule="auto"/>
        <w:jc w:val="left"/>
        <w:rPr>
          <w:rFonts w:ascii="仿宋" w:hAnsi="仿宋" w:eastAsia="仿宋"/>
          <w:b/>
          <w:kern w:val="0"/>
          <w:sz w:val="28"/>
          <w:szCs w:val="28"/>
        </w:rPr>
        <w:sectPr>
          <w:pgSz w:w="11906" w:h="16838"/>
          <w:pgMar w:top="1440" w:right="1797" w:bottom="1440" w:left="1797" w:header="851" w:footer="992" w:gutter="0"/>
          <w:cols w:space="720" w:num="1"/>
        </w:sectPr>
      </w:pPr>
    </w:p>
    <w:p w14:paraId="56C426AA">
      <w:pPr>
        <w:spacing w:line="360" w:lineRule="auto"/>
        <w:rPr>
          <w:rFonts w:ascii="宋体" w:hAnsi="宋体" w:eastAsia="宋体"/>
          <w:b/>
          <w:sz w:val="24"/>
          <w:szCs w:val="24"/>
        </w:rPr>
      </w:pPr>
    </w:p>
    <w:p w14:paraId="1CABC53E">
      <w:pPr>
        <w:spacing w:line="360" w:lineRule="auto"/>
        <w:rPr>
          <w:rFonts w:ascii="宋体" w:hAnsi="宋体"/>
          <w:b/>
          <w:sz w:val="24"/>
          <w:szCs w:val="24"/>
        </w:rPr>
      </w:pPr>
      <w:r>
        <w:rPr>
          <w:rFonts w:hint="eastAsia" w:ascii="宋体" w:hAnsi="宋体"/>
          <w:b/>
          <w:sz w:val="24"/>
          <w:szCs w:val="24"/>
        </w:rPr>
        <w:t>附件四：服务商类似项目业绩一览表</w:t>
      </w:r>
    </w:p>
    <w:p w14:paraId="3AFF51FA">
      <w:pPr>
        <w:spacing w:line="360" w:lineRule="auto"/>
        <w:rPr>
          <w:rFonts w:ascii="宋体" w:hAnsi="宋体"/>
          <w:b/>
          <w:sz w:val="24"/>
          <w:szCs w:val="24"/>
        </w:rPr>
      </w:pPr>
    </w:p>
    <w:p w14:paraId="7ECE4D97">
      <w:pPr>
        <w:pStyle w:val="6"/>
        <w:spacing w:beforeAutospacing="0" w:afterAutospacing="0" w:line="360" w:lineRule="auto"/>
        <w:jc w:val="center"/>
        <w:rPr>
          <w:rFonts w:ascii="宋体" w:hAnsi="宋体"/>
          <w:b/>
          <w:bCs/>
          <w:szCs w:val="24"/>
        </w:rPr>
      </w:pPr>
      <w:r>
        <w:rPr>
          <w:rFonts w:hint="eastAsia"/>
          <w:b/>
          <w:bCs/>
        </w:rPr>
        <w:t>服务商类似项目业绩一览表</w:t>
      </w:r>
    </w:p>
    <w:p w14:paraId="3F369541">
      <w:pPr>
        <w:tabs>
          <w:tab w:val="left" w:pos="12285"/>
        </w:tabs>
        <w:spacing w:line="360" w:lineRule="auto"/>
        <w:rPr>
          <w:rFonts w:ascii="仿宋" w:hAnsi="仿宋" w:eastAsia="仿宋"/>
          <w:bCs/>
          <w:szCs w:val="24"/>
        </w:rPr>
      </w:pPr>
      <w:r>
        <w:rPr>
          <w:rFonts w:hint="eastAsia" w:ascii="仿宋" w:hAnsi="仿宋" w:eastAsia="仿宋"/>
          <w:kern w:val="0"/>
          <w:sz w:val="24"/>
          <w:szCs w:val="24"/>
        </w:rPr>
        <w:t>项目名称：</w:t>
      </w:r>
      <w:r>
        <w:rPr>
          <w:rFonts w:ascii="仿宋" w:hAnsi="仿宋" w:eastAsia="仿宋"/>
          <w:kern w:val="0"/>
          <w:sz w:val="24"/>
          <w:szCs w:val="24"/>
          <w:u w:val="single"/>
        </w:rPr>
        <w:t>上海对外经贸大学松江</w:t>
      </w:r>
      <w:r>
        <w:rPr>
          <w:rFonts w:hint="eastAsia" w:ascii="仿宋" w:hAnsi="仿宋" w:eastAsia="仿宋"/>
          <w:kern w:val="0"/>
          <w:sz w:val="24"/>
          <w:szCs w:val="24"/>
          <w:u w:val="single"/>
        </w:rPr>
        <w:t>学生</w:t>
      </w:r>
      <w:r>
        <w:rPr>
          <w:rFonts w:ascii="仿宋" w:hAnsi="仿宋" w:eastAsia="仿宋"/>
          <w:kern w:val="0"/>
          <w:sz w:val="24"/>
          <w:szCs w:val="24"/>
          <w:u w:val="single"/>
        </w:rPr>
        <w:t>社区</w:t>
      </w:r>
      <w:r>
        <w:rPr>
          <w:rFonts w:hint="eastAsia" w:ascii="仿宋" w:hAnsi="仿宋" w:eastAsia="仿宋"/>
          <w:kern w:val="0"/>
          <w:sz w:val="24"/>
          <w:szCs w:val="24"/>
          <w:u w:val="single"/>
        </w:rPr>
        <w:t xml:space="preserve">引进第三方电动自行车充电桩服务项目 </w:t>
      </w:r>
    </w:p>
    <w:tbl>
      <w:tblPr>
        <w:tblStyle w:val="7"/>
        <w:tblW w:w="8506" w:type="dxa"/>
        <w:tblInd w:w="-3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702"/>
        <w:gridCol w:w="1701"/>
        <w:gridCol w:w="1559"/>
        <w:gridCol w:w="1417"/>
        <w:gridCol w:w="2127"/>
      </w:tblGrid>
      <w:tr w14:paraId="704CA5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65" w:hRule="atLeast"/>
        </w:trPr>
        <w:tc>
          <w:tcPr>
            <w:tcW w:w="1702" w:type="dxa"/>
            <w:tcBorders>
              <w:top w:val="single" w:color="auto" w:sz="4" w:space="0"/>
              <w:left w:val="single" w:color="auto" w:sz="4" w:space="0"/>
              <w:bottom w:val="single" w:color="auto" w:sz="4" w:space="0"/>
              <w:right w:val="single" w:color="auto" w:sz="4" w:space="0"/>
            </w:tcBorders>
            <w:vAlign w:val="center"/>
          </w:tcPr>
          <w:p w14:paraId="6BFA1221">
            <w:pPr>
              <w:jc w:val="center"/>
              <w:rPr>
                <w:rFonts w:ascii="仿宋" w:hAnsi="仿宋" w:eastAsia="仿宋"/>
                <w:sz w:val="24"/>
                <w:szCs w:val="24"/>
              </w:rPr>
            </w:pPr>
            <w:r>
              <w:rPr>
                <w:rFonts w:hint="eastAsia" w:ascii="仿宋" w:hAnsi="仿宋" w:eastAsia="仿宋"/>
                <w:sz w:val="24"/>
                <w:szCs w:val="24"/>
              </w:rPr>
              <w:t>项目名称</w:t>
            </w:r>
          </w:p>
        </w:tc>
        <w:tc>
          <w:tcPr>
            <w:tcW w:w="1701" w:type="dxa"/>
            <w:tcBorders>
              <w:top w:val="single" w:color="auto" w:sz="4" w:space="0"/>
              <w:left w:val="single" w:color="auto" w:sz="4" w:space="0"/>
              <w:bottom w:val="single" w:color="auto" w:sz="4" w:space="0"/>
              <w:right w:val="single" w:color="auto" w:sz="4" w:space="0"/>
            </w:tcBorders>
            <w:vAlign w:val="center"/>
          </w:tcPr>
          <w:p w14:paraId="1A1224D7">
            <w:pPr>
              <w:jc w:val="center"/>
              <w:rPr>
                <w:rFonts w:ascii="仿宋" w:hAnsi="仿宋" w:eastAsia="仿宋"/>
                <w:sz w:val="24"/>
                <w:szCs w:val="24"/>
              </w:rPr>
            </w:pPr>
            <w:r>
              <w:rPr>
                <w:rFonts w:hint="eastAsia" w:ascii="仿宋" w:hAnsi="仿宋" w:eastAsia="仿宋"/>
                <w:sz w:val="24"/>
                <w:szCs w:val="24"/>
              </w:rPr>
              <w:t>合同项目</w:t>
            </w:r>
          </w:p>
          <w:p w14:paraId="7F74E3DB">
            <w:pPr>
              <w:jc w:val="center"/>
              <w:rPr>
                <w:rFonts w:ascii="仿宋" w:hAnsi="仿宋" w:eastAsia="仿宋"/>
                <w:sz w:val="24"/>
                <w:szCs w:val="24"/>
              </w:rPr>
            </w:pPr>
            <w:r>
              <w:rPr>
                <w:rFonts w:hint="eastAsia" w:ascii="仿宋" w:hAnsi="仿宋" w:eastAsia="仿宋"/>
                <w:sz w:val="24"/>
                <w:szCs w:val="24"/>
              </w:rPr>
              <w:t>对方名称</w:t>
            </w:r>
          </w:p>
        </w:tc>
        <w:tc>
          <w:tcPr>
            <w:tcW w:w="1559" w:type="dxa"/>
            <w:tcBorders>
              <w:top w:val="single" w:color="auto" w:sz="4" w:space="0"/>
              <w:left w:val="single" w:color="auto" w:sz="4" w:space="0"/>
              <w:bottom w:val="single" w:color="auto" w:sz="4" w:space="0"/>
              <w:right w:val="single" w:color="auto" w:sz="4" w:space="0"/>
            </w:tcBorders>
            <w:vAlign w:val="center"/>
          </w:tcPr>
          <w:p w14:paraId="7FAE6A62">
            <w:pPr>
              <w:jc w:val="center"/>
              <w:rPr>
                <w:rFonts w:ascii="仿宋" w:hAnsi="仿宋" w:eastAsia="仿宋"/>
                <w:sz w:val="24"/>
                <w:szCs w:val="24"/>
              </w:rPr>
            </w:pPr>
            <w:r>
              <w:rPr>
                <w:rFonts w:hint="eastAsia" w:ascii="仿宋" w:hAnsi="仿宋" w:eastAsia="仿宋"/>
                <w:sz w:val="24"/>
                <w:szCs w:val="24"/>
              </w:rPr>
              <w:t>合同金额</w:t>
            </w:r>
          </w:p>
          <w:p w14:paraId="7B626727">
            <w:pPr>
              <w:jc w:val="center"/>
              <w:rPr>
                <w:rFonts w:ascii="仿宋" w:hAnsi="仿宋" w:eastAsia="仿宋"/>
                <w:sz w:val="24"/>
                <w:szCs w:val="24"/>
              </w:rPr>
            </w:pPr>
            <w:r>
              <w:rPr>
                <w:rFonts w:hint="eastAsia" w:ascii="仿宋" w:hAnsi="仿宋" w:eastAsia="仿宋"/>
                <w:sz w:val="24"/>
                <w:szCs w:val="24"/>
              </w:rPr>
              <w:t>（万元）</w:t>
            </w:r>
          </w:p>
        </w:tc>
        <w:tc>
          <w:tcPr>
            <w:tcW w:w="1417" w:type="dxa"/>
            <w:tcBorders>
              <w:top w:val="single" w:color="auto" w:sz="4" w:space="0"/>
              <w:left w:val="single" w:color="auto" w:sz="4" w:space="0"/>
              <w:bottom w:val="nil"/>
              <w:right w:val="single" w:color="auto" w:sz="4" w:space="0"/>
            </w:tcBorders>
            <w:vAlign w:val="center"/>
          </w:tcPr>
          <w:p w14:paraId="0ACB817D">
            <w:pPr>
              <w:jc w:val="center"/>
              <w:rPr>
                <w:rFonts w:ascii="仿宋" w:hAnsi="仿宋" w:eastAsia="仿宋"/>
                <w:sz w:val="24"/>
                <w:szCs w:val="24"/>
              </w:rPr>
            </w:pPr>
            <w:r>
              <w:rPr>
                <w:rFonts w:hint="eastAsia" w:ascii="仿宋" w:hAnsi="仿宋" w:eastAsia="仿宋"/>
                <w:sz w:val="24"/>
                <w:szCs w:val="24"/>
              </w:rPr>
              <w:t>页码</w:t>
            </w:r>
          </w:p>
        </w:tc>
        <w:tc>
          <w:tcPr>
            <w:tcW w:w="2127" w:type="dxa"/>
            <w:tcBorders>
              <w:top w:val="single" w:color="auto" w:sz="4" w:space="0"/>
              <w:left w:val="single" w:color="auto" w:sz="4" w:space="0"/>
              <w:bottom w:val="single" w:color="auto" w:sz="4" w:space="0"/>
              <w:right w:val="single" w:color="auto" w:sz="4" w:space="0"/>
            </w:tcBorders>
            <w:vAlign w:val="center"/>
          </w:tcPr>
          <w:p w14:paraId="0A29268B">
            <w:pPr>
              <w:jc w:val="center"/>
              <w:rPr>
                <w:rFonts w:ascii="仿宋" w:hAnsi="仿宋" w:eastAsia="仿宋"/>
                <w:sz w:val="24"/>
                <w:szCs w:val="24"/>
              </w:rPr>
            </w:pPr>
            <w:r>
              <w:rPr>
                <w:rFonts w:hint="eastAsia" w:ascii="仿宋" w:hAnsi="仿宋" w:eastAsia="仿宋"/>
                <w:sz w:val="24"/>
                <w:szCs w:val="24"/>
              </w:rPr>
              <w:t>联系人</w:t>
            </w:r>
          </w:p>
          <w:p w14:paraId="772FAF86">
            <w:pPr>
              <w:jc w:val="center"/>
              <w:rPr>
                <w:rFonts w:ascii="仿宋" w:hAnsi="仿宋" w:eastAsia="仿宋"/>
                <w:sz w:val="24"/>
                <w:szCs w:val="24"/>
              </w:rPr>
            </w:pPr>
            <w:r>
              <w:rPr>
                <w:rFonts w:hint="eastAsia" w:ascii="仿宋" w:hAnsi="仿宋" w:eastAsia="仿宋"/>
                <w:sz w:val="24"/>
                <w:szCs w:val="24"/>
              </w:rPr>
              <w:t>及联系电话</w:t>
            </w:r>
          </w:p>
        </w:tc>
      </w:tr>
      <w:tr w14:paraId="356A1F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1702" w:type="dxa"/>
            <w:tcBorders>
              <w:top w:val="single" w:color="auto" w:sz="4" w:space="0"/>
              <w:left w:val="single" w:color="auto" w:sz="4" w:space="0"/>
              <w:bottom w:val="single" w:color="auto" w:sz="4" w:space="0"/>
              <w:right w:val="single" w:color="auto" w:sz="4" w:space="0"/>
            </w:tcBorders>
          </w:tcPr>
          <w:p w14:paraId="35E3FD9D">
            <w:pPr>
              <w:ind w:firstLine="480" w:firstLineChars="200"/>
              <w:rPr>
                <w:rFonts w:ascii="仿宋" w:hAnsi="仿宋" w:eastAsia="仿宋"/>
                <w:sz w:val="24"/>
                <w:szCs w:val="24"/>
              </w:rPr>
            </w:pPr>
          </w:p>
        </w:tc>
        <w:tc>
          <w:tcPr>
            <w:tcW w:w="1701" w:type="dxa"/>
            <w:tcBorders>
              <w:top w:val="single" w:color="auto" w:sz="4" w:space="0"/>
              <w:left w:val="single" w:color="auto" w:sz="4" w:space="0"/>
              <w:bottom w:val="single" w:color="auto" w:sz="4" w:space="0"/>
              <w:right w:val="single" w:color="auto" w:sz="4" w:space="0"/>
            </w:tcBorders>
          </w:tcPr>
          <w:p w14:paraId="278E508B">
            <w:pPr>
              <w:ind w:firstLine="480" w:firstLineChars="200"/>
              <w:rPr>
                <w:rFonts w:ascii="仿宋" w:hAnsi="仿宋" w:eastAsia="仿宋"/>
                <w:sz w:val="24"/>
                <w:szCs w:val="24"/>
              </w:rPr>
            </w:pPr>
          </w:p>
        </w:tc>
        <w:tc>
          <w:tcPr>
            <w:tcW w:w="1559" w:type="dxa"/>
            <w:tcBorders>
              <w:top w:val="single" w:color="auto" w:sz="4" w:space="0"/>
              <w:left w:val="single" w:color="auto" w:sz="4" w:space="0"/>
              <w:bottom w:val="single" w:color="auto" w:sz="4" w:space="0"/>
              <w:right w:val="single" w:color="auto" w:sz="4" w:space="0"/>
            </w:tcBorders>
          </w:tcPr>
          <w:p w14:paraId="193BA9BC">
            <w:pPr>
              <w:ind w:firstLine="480" w:firstLineChars="200"/>
              <w:rPr>
                <w:rFonts w:ascii="仿宋" w:hAnsi="仿宋" w:eastAsia="仿宋"/>
                <w:sz w:val="24"/>
                <w:szCs w:val="24"/>
              </w:rPr>
            </w:pPr>
          </w:p>
        </w:tc>
        <w:tc>
          <w:tcPr>
            <w:tcW w:w="1417" w:type="dxa"/>
            <w:tcBorders>
              <w:top w:val="single" w:color="auto" w:sz="4" w:space="0"/>
              <w:left w:val="single" w:color="auto" w:sz="4" w:space="0"/>
              <w:bottom w:val="single" w:color="auto" w:sz="4" w:space="0"/>
              <w:right w:val="single" w:color="auto" w:sz="4" w:space="0"/>
            </w:tcBorders>
          </w:tcPr>
          <w:p w14:paraId="0DF35207">
            <w:pPr>
              <w:ind w:firstLine="480" w:firstLineChars="200"/>
              <w:rPr>
                <w:rFonts w:ascii="仿宋" w:hAnsi="仿宋" w:eastAsia="仿宋"/>
                <w:sz w:val="24"/>
                <w:szCs w:val="24"/>
              </w:rPr>
            </w:pPr>
          </w:p>
        </w:tc>
        <w:tc>
          <w:tcPr>
            <w:tcW w:w="2127" w:type="dxa"/>
            <w:tcBorders>
              <w:top w:val="single" w:color="auto" w:sz="4" w:space="0"/>
              <w:left w:val="single" w:color="auto" w:sz="4" w:space="0"/>
              <w:bottom w:val="single" w:color="auto" w:sz="4" w:space="0"/>
              <w:right w:val="single" w:color="auto" w:sz="4" w:space="0"/>
            </w:tcBorders>
          </w:tcPr>
          <w:p w14:paraId="244AE1DD">
            <w:pPr>
              <w:ind w:firstLine="480" w:firstLineChars="200"/>
              <w:rPr>
                <w:rFonts w:ascii="仿宋" w:hAnsi="仿宋" w:eastAsia="仿宋"/>
                <w:sz w:val="24"/>
                <w:szCs w:val="24"/>
              </w:rPr>
            </w:pPr>
          </w:p>
        </w:tc>
      </w:tr>
      <w:tr w14:paraId="3F1A6C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1702" w:type="dxa"/>
            <w:tcBorders>
              <w:top w:val="single" w:color="auto" w:sz="4" w:space="0"/>
              <w:left w:val="single" w:color="auto" w:sz="4" w:space="0"/>
              <w:bottom w:val="single" w:color="auto" w:sz="4" w:space="0"/>
              <w:right w:val="single" w:color="auto" w:sz="4" w:space="0"/>
            </w:tcBorders>
          </w:tcPr>
          <w:p w14:paraId="240DE1D2">
            <w:pPr>
              <w:ind w:firstLine="480" w:firstLineChars="200"/>
              <w:rPr>
                <w:rFonts w:ascii="仿宋" w:hAnsi="仿宋" w:eastAsia="仿宋"/>
                <w:sz w:val="24"/>
                <w:szCs w:val="24"/>
              </w:rPr>
            </w:pPr>
          </w:p>
        </w:tc>
        <w:tc>
          <w:tcPr>
            <w:tcW w:w="1701" w:type="dxa"/>
            <w:tcBorders>
              <w:top w:val="single" w:color="auto" w:sz="4" w:space="0"/>
              <w:left w:val="single" w:color="auto" w:sz="4" w:space="0"/>
              <w:bottom w:val="single" w:color="auto" w:sz="4" w:space="0"/>
              <w:right w:val="single" w:color="auto" w:sz="4" w:space="0"/>
            </w:tcBorders>
          </w:tcPr>
          <w:p w14:paraId="02A203B5">
            <w:pPr>
              <w:ind w:firstLine="480" w:firstLineChars="200"/>
              <w:rPr>
                <w:rFonts w:ascii="仿宋" w:hAnsi="仿宋" w:eastAsia="仿宋"/>
                <w:sz w:val="24"/>
                <w:szCs w:val="24"/>
              </w:rPr>
            </w:pPr>
          </w:p>
        </w:tc>
        <w:tc>
          <w:tcPr>
            <w:tcW w:w="1559" w:type="dxa"/>
            <w:tcBorders>
              <w:top w:val="single" w:color="auto" w:sz="4" w:space="0"/>
              <w:left w:val="single" w:color="auto" w:sz="4" w:space="0"/>
              <w:bottom w:val="single" w:color="auto" w:sz="4" w:space="0"/>
              <w:right w:val="single" w:color="auto" w:sz="4" w:space="0"/>
            </w:tcBorders>
          </w:tcPr>
          <w:p w14:paraId="78923FEF">
            <w:pPr>
              <w:ind w:firstLine="480" w:firstLineChars="200"/>
              <w:rPr>
                <w:rFonts w:ascii="仿宋" w:hAnsi="仿宋" w:eastAsia="仿宋"/>
                <w:sz w:val="24"/>
                <w:szCs w:val="24"/>
              </w:rPr>
            </w:pPr>
          </w:p>
        </w:tc>
        <w:tc>
          <w:tcPr>
            <w:tcW w:w="1417" w:type="dxa"/>
            <w:tcBorders>
              <w:top w:val="single" w:color="auto" w:sz="4" w:space="0"/>
              <w:left w:val="single" w:color="auto" w:sz="4" w:space="0"/>
              <w:bottom w:val="single" w:color="auto" w:sz="4" w:space="0"/>
              <w:right w:val="single" w:color="auto" w:sz="4" w:space="0"/>
            </w:tcBorders>
          </w:tcPr>
          <w:p w14:paraId="7044EC29">
            <w:pPr>
              <w:ind w:firstLine="480" w:firstLineChars="200"/>
              <w:rPr>
                <w:rFonts w:ascii="仿宋" w:hAnsi="仿宋" w:eastAsia="仿宋"/>
                <w:sz w:val="24"/>
                <w:szCs w:val="24"/>
              </w:rPr>
            </w:pPr>
          </w:p>
        </w:tc>
        <w:tc>
          <w:tcPr>
            <w:tcW w:w="2127" w:type="dxa"/>
            <w:tcBorders>
              <w:top w:val="single" w:color="auto" w:sz="4" w:space="0"/>
              <w:left w:val="single" w:color="auto" w:sz="4" w:space="0"/>
              <w:bottom w:val="single" w:color="auto" w:sz="4" w:space="0"/>
              <w:right w:val="single" w:color="auto" w:sz="4" w:space="0"/>
            </w:tcBorders>
          </w:tcPr>
          <w:p w14:paraId="38BA0728">
            <w:pPr>
              <w:ind w:firstLine="480" w:firstLineChars="200"/>
              <w:rPr>
                <w:rFonts w:ascii="仿宋" w:hAnsi="仿宋" w:eastAsia="仿宋"/>
                <w:sz w:val="24"/>
                <w:szCs w:val="24"/>
              </w:rPr>
            </w:pPr>
          </w:p>
        </w:tc>
      </w:tr>
      <w:tr w14:paraId="23D284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1702" w:type="dxa"/>
            <w:tcBorders>
              <w:top w:val="single" w:color="auto" w:sz="4" w:space="0"/>
              <w:left w:val="single" w:color="auto" w:sz="4" w:space="0"/>
              <w:bottom w:val="single" w:color="auto" w:sz="4" w:space="0"/>
              <w:right w:val="single" w:color="auto" w:sz="4" w:space="0"/>
            </w:tcBorders>
          </w:tcPr>
          <w:p w14:paraId="381F3B17">
            <w:pPr>
              <w:ind w:firstLine="480" w:firstLineChars="200"/>
              <w:rPr>
                <w:rFonts w:ascii="仿宋" w:hAnsi="仿宋" w:eastAsia="仿宋"/>
                <w:sz w:val="24"/>
                <w:szCs w:val="24"/>
              </w:rPr>
            </w:pPr>
          </w:p>
        </w:tc>
        <w:tc>
          <w:tcPr>
            <w:tcW w:w="1701" w:type="dxa"/>
            <w:tcBorders>
              <w:top w:val="single" w:color="auto" w:sz="4" w:space="0"/>
              <w:left w:val="single" w:color="auto" w:sz="4" w:space="0"/>
              <w:bottom w:val="single" w:color="auto" w:sz="4" w:space="0"/>
              <w:right w:val="single" w:color="auto" w:sz="4" w:space="0"/>
            </w:tcBorders>
          </w:tcPr>
          <w:p w14:paraId="358AC075">
            <w:pPr>
              <w:ind w:firstLine="480" w:firstLineChars="200"/>
              <w:rPr>
                <w:rFonts w:ascii="仿宋" w:hAnsi="仿宋" w:eastAsia="仿宋"/>
                <w:sz w:val="24"/>
                <w:szCs w:val="24"/>
              </w:rPr>
            </w:pPr>
          </w:p>
        </w:tc>
        <w:tc>
          <w:tcPr>
            <w:tcW w:w="1559" w:type="dxa"/>
            <w:tcBorders>
              <w:top w:val="single" w:color="auto" w:sz="4" w:space="0"/>
              <w:left w:val="single" w:color="auto" w:sz="4" w:space="0"/>
              <w:bottom w:val="single" w:color="auto" w:sz="4" w:space="0"/>
              <w:right w:val="single" w:color="auto" w:sz="4" w:space="0"/>
            </w:tcBorders>
          </w:tcPr>
          <w:p w14:paraId="2A62D0FC">
            <w:pPr>
              <w:ind w:firstLine="480" w:firstLineChars="200"/>
              <w:rPr>
                <w:rFonts w:ascii="仿宋" w:hAnsi="仿宋" w:eastAsia="仿宋"/>
                <w:sz w:val="24"/>
                <w:szCs w:val="24"/>
              </w:rPr>
            </w:pPr>
          </w:p>
        </w:tc>
        <w:tc>
          <w:tcPr>
            <w:tcW w:w="1417" w:type="dxa"/>
            <w:tcBorders>
              <w:top w:val="single" w:color="auto" w:sz="4" w:space="0"/>
              <w:left w:val="single" w:color="auto" w:sz="4" w:space="0"/>
              <w:bottom w:val="single" w:color="auto" w:sz="4" w:space="0"/>
              <w:right w:val="single" w:color="auto" w:sz="4" w:space="0"/>
            </w:tcBorders>
          </w:tcPr>
          <w:p w14:paraId="3052090D">
            <w:pPr>
              <w:ind w:firstLine="480" w:firstLineChars="200"/>
              <w:rPr>
                <w:rFonts w:ascii="仿宋" w:hAnsi="仿宋" w:eastAsia="仿宋"/>
                <w:sz w:val="24"/>
                <w:szCs w:val="24"/>
              </w:rPr>
            </w:pPr>
          </w:p>
        </w:tc>
        <w:tc>
          <w:tcPr>
            <w:tcW w:w="2127" w:type="dxa"/>
            <w:tcBorders>
              <w:top w:val="single" w:color="auto" w:sz="4" w:space="0"/>
              <w:left w:val="single" w:color="auto" w:sz="4" w:space="0"/>
              <w:bottom w:val="single" w:color="auto" w:sz="4" w:space="0"/>
              <w:right w:val="single" w:color="auto" w:sz="4" w:space="0"/>
            </w:tcBorders>
          </w:tcPr>
          <w:p w14:paraId="77CF81E3">
            <w:pPr>
              <w:ind w:firstLine="480" w:firstLineChars="200"/>
              <w:rPr>
                <w:rFonts w:ascii="仿宋" w:hAnsi="仿宋" w:eastAsia="仿宋"/>
                <w:sz w:val="24"/>
                <w:szCs w:val="24"/>
              </w:rPr>
            </w:pPr>
          </w:p>
        </w:tc>
      </w:tr>
      <w:tr w14:paraId="7A761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1702" w:type="dxa"/>
            <w:tcBorders>
              <w:top w:val="single" w:color="auto" w:sz="4" w:space="0"/>
              <w:left w:val="single" w:color="auto" w:sz="4" w:space="0"/>
              <w:bottom w:val="single" w:color="auto" w:sz="4" w:space="0"/>
              <w:right w:val="single" w:color="auto" w:sz="4" w:space="0"/>
            </w:tcBorders>
          </w:tcPr>
          <w:p w14:paraId="321B8276">
            <w:pPr>
              <w:ind w:firstLine="480" w:firstLineChars="200"/>
              <w:rPr>
                <w:rFonts w:ascii="仿宋" w:hAnsi="仿宋" w:eastAsia="仿宋"/>
                <w:sz w:val="24"/>
                <w:szCs w:val="24"/>
              </w:rPr>
            </w:pPr>
          </w:p>
        </w:tc>
        <w:tc>
          <w:tcPr>
            <w:tcW w:w="1701" w:type="dxa"/>
            <w:tcBorders>
              <w:top w:val="single" w:color="auto" w:sz="4" w:space="0"/>
              <w:left w:val="single" w:color="auto" w:sz="4" w:space="0"/>
              <w:bottom w:val="single" w:color="auto" w:sz="4" w:space="0"/>
              <w:right w:val="single" w:color="auto" w:sz="4" w:space="0"/>
            </w:tcBorders>
          </w:tcPr>
          <w:p w14:paraId="422ACB8B">
            <w:pPr>
              <w:ind w:firstLine="480" w:firstLineChars="200"/>
              <w:rPr>
                <w:rFonts w:ascii="仿宋" w:hAnsi="仿宋" w:eastAsia="仿宋"/>
                <w:sz w:val="24"/>
                <w:szCs w:val="24"/>
              </w:rPr>
            </w:pPr>
          </w:p>
        </w:tc>
        <w:tc>
          <w:tcPr>
            <w:tcW w:w="1559" w:type="dxa"/>
            <w:tcBorders>
              <w:top w:val="single" w:color="auto" w:sz="4" w:space="0"/>
              <w:left w:val="single" w:color="auto" w:sz="4" w:space="0"/>
              <w:bottom w:val="single" w:color="auto" w:sz="4" w:space="0"/>
              <w:right w:val="single" w:color="auto" w:sz="4" w:space="0"/>
            </w:tcBorders>
          </w:tcPr>
          <w:p w14:paraId="007AB5BD">
            <w:pPr>
              <w:ind w:firstLine="480" w:firstLineChars="200"/>
              <w:rPr>
                <w:rFonts w:ascii="仿宋" w:hAnsi="仿宋" w:eastAsia="仿宋"/>
                <w:sz w:val="24"/>
                <w:szCs w:val="24"/>
              </w:rPr>
            </w:pPr>
          </w:p>
        </w:tc>
        <w:tc>
          <w:tcPr>
            <w:tcW w:w="1417" w:type="dxa"/>
            <w:tcBorders>
              <w:top w:val="single" w:color="auto" w:sz="4" w:space="0"/>
              <w:left w:val="single" w:color="auto" w:sz="4" w:space="0"/>
              <w:bottom w:val="single" w:color="auto" w:sz="4" w:space="0"/>
              <w:right w:val="single" w:color="auto" w:sz="4" w:space="0"/>
            </w:tcBorders>
          </w:tcPr>
          <w:p w14:paraId="363AA745">
            <w:pPr>
              <w:ind w:firstLine="480" w:firstLineChars="200"/>
              <w:rPr>
                <w:rFonts w:ascii="仿宋" w:hAnsi="仿宋" w:eastAsia="仿宋"/>
                <w:sz w:val="24"/>
                <w:szCs w:val="24"/>
              </w:rPr>
            </w:pPr>
          </w:p>
        </w:tc>
        <w:tc>
          <w:tcPr>
            <w:tcW w:w="2127" w:type="dxa"/>
            <w:tcBorders>
              <w:top w:val="single" w:color="auto" w:sz="4" w:space="0"/>
              <w:left w:val="single" w:color="auto" w:sz="4" w:space="0"/>
              <w:bottom w:val="single" w:color="auto" w:sz="4" w:space="0"/>
              <w:right w:val="single" w:color="auto" w:sz="4" w:space="0"/>
            </w:tcBorders>
          </w:tcPr>
          <w:p w14:paraId="3E9CDE99">
            <w:pPr>
              <w:ind w:firstLine="480" w:firstLineChars="200"/>
              <w:rPr>
                <w:rFonts w:ascii="仿宋" w:hAnsi="仿宋" w:eastAsia="仿宋"/>
                <w:sz w:val="24"/>
                <w:szCs w:val="24"/>
              </w:rPr>
            </w:pPr>
          </w:p>
        </w:tc>
      </w:tr>
      <w:tr w14:paraId="2154A5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1702" w:type="dxa"/>
            <w:tcBorders>
              <w:top w:val="single" w:color="auto" w:sz="4" w:space="0"/>
              <w:left w:val="single" w:color="auto" w:sz="4" w:space="0"/>
              <w:bottom w:val="single" w:color="auto" w:sz="4" w:space="0"/>
              <w:right w:val="single" w:color="auto" w:sz="4" w:space="0"/>
            </w:tcBorders>
          </w:tcPr>
          <w:p w14:paraId="41058AFC">
            <w:pPr>
              <w:ind w:firstLine="480" w:firstLineChars="200"/>
              <w:rPr>
                <w:rFonts w:ascii="仿宋" w:hAnsi="仿宋" w:eastAsia="仿宋"/>
                <w:sz w:val="24"/>
                <w:szCs w:val="24"/>
              </w:rPr>
            </w:pPr>
          </w:p>
        </w:tc>
        <w:tc>
          <w:tcPr>
            <w:tcW w:w="1701" w:type="dxa"/>
            <w:tcBorders>
              <w:top w:val="single" w:color="auto" w:sz="4" w:space="0"/>
              <w:left w:val="single" w:color="auto" w:sz="4" w:space="0"/>
              <w:bottom w:val="single" w:color="auto" w:sz="4" w:space="0"/>
              <w:right w:val="single" w:color="auto" w:sz="4" w:space="0"/>
            </w:tcBorders>
          </w:tcPr>
          <w:p w14:paraId="2A62C0E1">
            <w:pPr>
              <w:ind w:firstLine="480" w:firstLineChars="200"/>
              <w:rPr>
                <w:rFonts w:ascii="仿宋" w:hAnsi="仿宋" w:eastAsia="仿宋"/>
                <w:sz w:val="24"/>
                <w:szCs w:val="24"/>
              </w:rPr>
            </w:pPr>
          </w:p>
        </w:tc>
        <w:tc>
          <w:tcPr>
            <w:tcW w:w="1559" w:type="dxa"/>
            <w:tcBorders>
              <w:top w:val="single" w:color="auto" w:sz="4" w:space="0"/>
              <w:left w:val="single" w:color="auto" w:sz="4" w:space="0"/>
              <w:bottom w:val="single" w:color="auto" w:sz="4" w:space="0"/>
              <w:right w:val="single" w:color="auto" w:sz="4" w:space="0"/>
            </w:tcBorders>
          </w:tcPr>
          <w:p w14:paraId="6DE0615E">
            <w:pPr>
              <w:ind w:firstLine="480" w:firstLineChars="200"/>
              <w:rPr>
                <w:rFonts w:ascii="仿宋" w:hAnsi="仿宋" w:eastAsia="仿宋"/>
                <w:sz w:val="24"/>
                <w:szCs w:val="24"/>
              </w:rPr>
            </w:pPr>
          </w:p>
        </w:tc>
        <w:tc>
          <w:tcPr>
            <w:tcW w:w="1417" w:type="dxa"/>
            <w:tcBorders>
              <w:top w:val="single" w:color="auto" w:sz="4" w:space="0"/>
              <w:left w:val="single" w:color="auto" w:sz="4" w:space="0"/>
              <w:bottom w:val="single" w:color="auto" w:sz="4" w:space="0"/>
              <w:right w:val="single" w:color="auto" w:sz="4" w:space="0"/>
            </w:tcBorders>
          </w:tcPr>
          <w:p w14:paraId="09875173">
            <w:pPr>
              <w:ind w:firstLine="480" w:firstLineChars="200"/>
              <w:rPr>
                <w:rFonts w:ascii="仿宋" w:hAnsi="仿宋" w:eastAsia="仿宋"/>
                <w:sz w:val="24"/>
                <w:szCs w:val="24"/>
              </w:rPr>
            </w:pPr>
          </w:p>
        </w:tc>
        <w:tc>
          <w:tcPr>
            <w:tcW w:w="2127" w:type="dxa"/>
            <w:tcBorders>
              <w:top w:val="single" w:color="auto" w:sz="4" w:space="0"/>
              <w:left w:val="single" w:color="auto" w:sz="4" w:space="0"/>
              <w:bottom w:val="single" w:color="auto" w:sz="4" w:space="0"/>
              <w:right w:val="single" w:color="auto" w:sz="4" w:space="0"/>
            </w:tcBorders>
          </w:tcPr>
          <w:p w14:paraId="1A53CB4B">
            <w:pPr>
              <w:ind w:firstLine="480" w:firstLineChars="200"/>
              <w:rPr>
                <w:rFonts w:ascii="仿宋" w:hAnsi="仿宋" w:eastAsia="仿宋"/>
                <w:sz w:val="24"/>
                <w:szCs w:val="24"/>
              </w:rPr>
            </w:pPr>
          </w:p>
        </w:tc>
      </w:tr>
    </w:tbl>
    <w:p w14:paraId="623466D0">
      <w:pPr>
        <w:spacing w:line="360" w:lineRule="auto"/>
        <w:ind w:firstLine="480" w:firstLineChars="200"/>
        <w:rPr>
          <w:rFonts w:ascii="仿宋" w:hAnsi="仿宋" w:eastAsia="仿宋" w:cs="Times New Roman"/>
          <w:sz w:val="24"/>
          <w:szCs w:val="24"/>
        </w:rPr>
      </w:pPr>
      <w:r>
        <w:rPr>
          <w:rFonts w:hint="eastAsia" w:ascii="仿宋" w:hAnsi="仿宋" w:eastAsia="仿宋"/>
          <w:sz w:val="24"/>
          <w:szCs w:val="24"/>
        </w:rPr>
        <w:t>注：须提供类似项目合同复印件，格式自拟。不提供合同复印件的案例，视为无效案例。</w:t>
      </w:r>
    </w:p>
    <w:p w14:paraId="78D9DE64">
      <w:pPr>
        <w:spacing w:line="360" w:lineRule="auto"/>
        <w:ind w:right="600" w:firstLine="360" w:firstLineChars="150"/>
        <w:rPr>
          <w:rFonts w:ascii="仿宋" w:hAnsi="仿宋" w:eastAsia="仿宋"/>
          <w:sz w:val="24"/>
          <w:szCs w:val="24"/>
        </w:rPr>
      </w:pPr>
      <w:r>
        <w:rPr>
          <w:rFonts w:hint="eastAsia" w:ascii="仿宋" w:hAnsi="仿宋" w:eastAsia="仿宋"/>
          <w:sz w:val="24"/>
          <w:szCs w:val="24"/>
        </w:rPr>
        <w:t>报价单位（盖章）：</w:t>
      </w:r>
      <w:r>
        <w:rPr>
          <w:rFonts w:hint="eastAsia" w:ascii="仿宋" w:hAnsi="仿宋" w:eastAsia="仿宋"/>
          <w:sz w:val="24"/>
          <w:szCs w:val="24"/>
          <w:u w:val="single"/>
        </w:rPr>
        <w:t xml:space="preserve">                             </w:t>
      </w:r>
      <w:r>
        <w:rPr>
          <w:rFonts w:hint="eastAsia" w:ascii="仿宋" w:hAnsi="仿宋" w:eastAsia="仿宋"/>
          <w:sz w:val="24"/>
          <w:szCs w:val="24"/>
        </w:rPr>
        <w:t xml:space="preserve"> </w:t>
      </w:r>
    </w:p>
    <w:p w14:paraId="5132E99F">
      <w:pPr>
        <w:spacing w:line="360" w:lineRule="auto"/>
        <w:ind w:right="600" w:firstLine="360" w:firstLineChars="150"/>
        <w:rPr>
          <w:rFonts w:ascii="仿宋" w:hAnsi="仿宋" w:eastAsia="仿宋"/>
          <w:sz w:val="24"/>
          <w:szCs w:val="24"/>
          <w:u w:val="single"/>
        </w:rPr>
      </w:pPr>
      <w:r>
        <w:rPr>
          <w:rFonts w:hint="eastAsia" w:ascii="仿宋" w:hAnsi="仿宋" w:eastAsia="仿宋"/>
          <w:sz w:val="24"/>
          <w:szCs w:val="24"/>
        </w:rPr>
        <w:t>法定代表人或授权委托人（签字）：</w:t>
      </w:r>
      <w:r>
        <w:rPr>
          <w:rFonts w:hint="eastAsia" w:ascii="仿宋" w:hAnsi="仿宋" w:eastAsia="仿宋"/>
          <w:sz w:val="24"/>
          <w:szCs w:val="24"/>
          <w:u w:val="single"/>
        </w:rPr>
        <w:t xml:space="preserve">                           </w:t>
      </w:r>
    </w:p>
    <w:p w14:paraId="464DBD58">
      <w:pPr>
        <w:spacing w:line="360" w:lineRule="auto"/>
        <w:ind w:firstLine="360" w:firstLineChars="150"/>
        <w:rPr>
          <w:rFonts w:ascii="仿宋" w:hAnsi="仿宋" w:eastAsia="仿宋"/>
          <w:sz w:val="32"/>
          <w:szCs w:val="20"/>
        </w:rPr>
      </w:pPr>
      <w:r>
        <w:rPr>
          <w:rFonts w:hint="eastAsia" w:ascii="仿宋" w:hAnsi="仿宋" w:eastAsia="仿宋"/>
          <w:sz w:val="24"/>
          <w:szCs w:val="24"/>
        </w:rPr>
        <w:t>日期：</w:t>
      </w:r>
      <w:r>
        <w:rPr>
          <w:rFonts w:hint="eastAsia" w:ascii="仿宋" w:hAnsi="仿宋" w:eastAsia="仿宋"/>
          <w:sz w:val="24"/>
          <w:szCs w:val="24"/>
          <w:u w:val="single"/>
        </w:rPr>
        <w:t xml:space="preserve">         </w:t>
      </w:r>
      <w:r>
        <w:rPr>
          <w:rFonts w:hint="eastAsia" w:ascii="仿宋" w:hAnsi="仿宋" w:eastAsia="仿宋"/>
          <w:sz w:val="24"/>
          <w:szCs w:val="24"/>
        </w:rPr>
        <w:t>年</w:t>
      </w:r>
      <w:r>
        <w:rPr>
          <w:rFonts w:hint="eastAsia" w:ascii="仿宋" w:hAnsi="仿宋" w:eastAsia="仿宋"/>
          <w:sz w:val="24"/>
          <w:szCs w:val="24"/>
          <w:u w:val="single"/>
        </w:rPr>
        <w:t xml:space="preserve">     </w:t>
      </w:r>
      <w:r>
        <w:rPr>
          <w:rFonts w:hint="eastAsia" w:ascii="仿宋" w:hAnsi="仿宋" w:eastAsia="仿宋"/>
          <w:sz w:val="24"/>
          <w:szCs w:val="24"/>
        </w:rPr>
        <w:t>月</w:t>
      </w:r>
      <w:r>
        <w:rPr>
          <w:rFonts w:hint="eastAsia" w:ascii="仿宋" w:hAnsi="仿宋" w:eastAsia="仿宋"/>
          <w:sz w:val="24"/>
          <w:szCs w:val="24"/>
          <w:u w:val="single"/>
        </w:rPr>
        <w:t xml:space="preserve">     </w:t>
      </w:r>
      <w:r>
        <w:rPr>
          <w:rFonts w:hint="eastAsia" w:ascii="仿宋" w:hAnsi="仿宋" w:eastAsia="仿宋"/>
          <w:sz w:val="24"/>
          <w:szCs w:val="24"/>
        </w:rPr>
        <w:t xml:space="preserve">日   </w:t>
      </w:r>
    </w:p>
    <w:p w14:paraId="5B5CCE8F">
      <w:pPr>
        <w:spacing w:line="360" w:lineRule="auto"/>
        <w:ind w:firstLine="420" w:firstLineChars="200"/>
        <w:rPr>
          <w:rFonts w:ascii="仿宋" w:hAnsi="仿宋" w:eastAsia="仿宋"/>
        </w:rPr>
      </w:pPr>
    </w:p>
    <w:p w14:paraId="052E8459">
      <w:pPr>
        <w:spacing w:after="156" w:afterLines="50" w:line="440" w:lineRule="exact"/>
        <w:ind w:firstLine="482" w:firstLineChars="200"/>
        <w:rPr>
          <w:rFonts w:ascii="宋体" w:hAnsi="宋体" w:eastAsia="宋体"/>
          <w:b/>
          <w:sz w:val="24"/>
          <w:szCs w:val="24"/>
        </w:rPr>
      </w:pPr>
    </w:p>
    <w:p w14:paraId="5CA1D244">
      <w:pPr>
        <w:spacing w:after="156" w:afterLines="50" w:line="440" w:lineRule="exact"/>
        <w:ind w:firstLine="482" w:firstLineChars="200"/>
        <w:rPr>
          <w:rFonts w:ascii="宋体" w:hAnsi="宋体"/>
          <w:b/>
          <w:sz w:val="24"/>
          <w:szCs w:val="24"/>
        </w:rPr>
      </w:pPr>
    </w:p>
    <w:p w14:paraId="7BD93DDF">
      <w:pPr>
        <w:spacing w:after="156" w:afterLines="50" w:line="440" w:lineRule="exact"/>
        <w:ind w:firstLine="482" w:firstLineChars="200"/>
        <w:rPr>
          <w:rFonts w:ascii="宋体" w:hAnsi="宋体"/>
          <w:b/>
          <w:sz w:val="24"/>
          <w:szCs w:val="24"/>
        </w:rPr>
      </w:pPr>
    </w:p>
    <w:p w14:paraId="19FF3702">
      <w:pPr>
        <w:spacing w:after="156" w:afterLines="50" w:line="440" w:lineRule="exact"/>
        <w:ind w:firstLine="482" w:firstLineChars="200"/>
        <w:rPr>
          <w:rFonts w:ascii="宋体" w:hAnsi="宋体"/>
          <w:b/>
          <w:sz w:val="24"/>
          <w:szCs w:val="24"/>
        </w:rPr>
      </w:pPr>
    </w:p>
    <w:p w14:paraId="2234A66B">
      <w:pPr>
        <w:spacing w:after="156" w:afterLines="50" w:line="440" w:lineRule="exact"/>
        <w:ind w:firstLine="482" w:firstLineChars="200"/>
        <w:rPr>
          <w:rFonts w:ascii="宋体" w:hAnsi="宋体"/>
          <w:b/>
          <w:sz w:val="24"/>
          <w:szCs w:val="24"/>
        </w:rPr>
      </w:pPr>
    </w:p>
    <w:p w14:paraId="6C132217">
      <w:pPr>
        <w:spacing w:after="156" w:afterLines="50" w:line="440" w:lineRule="exact"/>
        <w:ind w:firstLine="482" w:firstLineChars="200"/>
        <w:rPr>
          <w:rFonts w:ascii="宋体" w:hAnsi="宋体"/>
          <w:b/>
          <w:sz w:val="24"/>
          <w:szCs w:val="24"/>
        </w:rPr>
      </w:pPr>
    </w:p>
    <w:p w14:paraId="36DC41C0">
      <w:pPr>
        <w:spacing w:after="156" w:afterLines="50" w:line="440" w:lineRule="exact"/>
        <w:ind w:firstLine="482" w:firstLineChars="200"/>
        <w:rPr>
          <w:rFonts w:ascii="宋体" w:hAnsi="宋体"/>
          <w:b/>
          <w:sz w:val="24"/>
          <w:szCs w:val="24"/>
        </w:rPr>
      </w:pPr>
    </w:p>
    <w:p w14:paraId="52432966">
      <w:pPr>
        <w:spacing w:after="156" w:afterLines="50" w:line="440" w:lineRule="exact"/>
        <w:ind w:firstLine="482" w:firstLineChars="200"/>
        <w:rPr>
          <w:rFonts w:ascii="宋体" w:hAnsi="宋体"/>
          <w:b/>
          <w:sz w:val="24"/>
          <w:szCs w:val="24"/>
        </w:rPr>
      </w:pPr>
      <w:r>
        <w:rPr>
          <w:rFonts w:hint="eastAsia" w:ascii="宋体" w:hAnsi="宋体"/>
          <w:b/>
          <w:sz w:val="24"/>
          <w:szCs w:val="24"/>
        </w:rPr>
        <w:t>附件五、物业服务费确认表：</w:t>
      </w:r>
    </w:p>
    <w:p w14:paraId="0981D508">
      <w:pPr>
        <w:spacing w:after="156" w:afterLines="50" w:line="440" w:lineRule="exact"/>
        <w:ind w:firstLine="482" w:firstLineChars="200"/>
        <w:jc w:val="center"/>
        <w:rPr>
          <w:rFonts w:ascii="宋体" w:hAnsi="宋体"/>
          <w:b/>
          <w:sz w:val="24"/>
          <w:szCs w:val="24"/>
        </w:rPr>
      </w:pPr>
    </w:p>
    <w:p w14:paraId="6F0F2B11">
      <w:pPr>
        <w:spacing w:after="156" w:afterLines="50" w:line="440" w:lineRule="exact"/>
        <w:ind w:firstLine="482" w:firstLineChars="200"/>
        <w:jc w:val="center"/>
        <w:rPr>
          <w:rFonts w:ascii="宋体" w:hAnsi="宋体"/>
          <w:b/>
          <w:sz w:val="24"/>
          <w:szCs w:val="24"/>
        </w:rPr>
      </w:pPr>
      <w:r>
        <w:rPr>
          <w:rFonts w:hint="eastAsia" w:ascii="宋体" w:hAnsi="宋体"/>
          <w:b/>
          <w:sz w:val="24"/>
          <w:szCs w:val="24"/>
        </w:rPr>
        <w:t>物业服务费确认表</w:t>
      </w:r>
    </w:p>
    <w:tbl>
      <w:tblPr>
        <w:tblStyle w:val="7"/>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6265"/>
      </w:tblGrid>
      <w:tr w14:paraId="3A531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2263" w:type="dxa"/>
            <w:tcBorders>
              <w:top w:val="single" w:color="auto" w:sz="4" w:space="0"/>
              <w:left w:val="single" w:color="auto" w:sz="4" w:space="0"/>
              <w:bottom w:val="single" w:color="auto" w:sz="4" w:space="0"/>
              <w:right w:val="single" w:color="auto" w:sz="4" w:space="0"/>
            </w:tcBorders>
            <w:noWrap/>
            <w:vAlign w:val="center"/>
          </w:tcPr>
          <w:p w14:paraId="76C83F87">
            <w:pPr>
              <w:spacing w:line="360" w:lineRule="auto"/>
              <w:ind w:right="600"/>
              <w:jc w:val="center"/>
              <w:rPr>
                <w:rFonts w:ascii="仿宋" w:hAnsi="仿宋" w:eastAsia="仿宋"/>
                <w:sz w:val="24"/>
                <w:szCs w:val="24"/>
              </w:rPr>
            </w:pPr>
            <w:r>
              <w:rPr>
                <w:rFonts w:hint="eastAsia" w:ascii="仿宋" w:hAnsi="仿宋" w:eastAsia="仿宋"/>
                <w:sz w:val="24"/>
                <w:szCs w:val="24"/>
              </w:rPr>
              <w:t>报价内容</w:t>
            </w:r>
          </w:p>
        </w:tc>
        <w:tc>
          <w:tcPr>
            <w:tcW w:w="6265" w:type="dxa"/>
            <w:tcBorders>
              <w:top w:val="single" w:color="auto" w:sz="4" w:space="0"/>
              <w:left w:val="single" w:color="auto" w:sz="4" w:space="0"/>
              <w:bottom w:val="single" w:color="auto" w:sz="4" w:space="0"/>
              <w:right w:val="single" w:color="auto" w:sz="4" w:space="0"/>
            </w:tcBorders>
            <w:noWrap/>
            <w:vAlign w:val="center"/>
          </w:tcPr>
          <w:p w14:paraId="050D9DF9">
            <w:pPr>
              <w:spacing w:line="360" w:lineRule="auto"/>
              <w:ind w:right="600" w:firstLine="360" w:firstLineChars="150"/>
              <w:jc w:val="center"/>
              <w:rPr>
                <w:rFonts w:ascii="仿宋" w:hAnsi="仿宋" w:eastAsia="仿宋"/>
                <w:sz w:val="24"/>
                <w:szCs w:val="24"/>
              </w:rPr>
            </w:pPr>
            <w:r>
              <w:rPr>
                <w:rFonts w:hint="eastAsia" w:ascii="仿宋" w:hAnsi="仿宋" w:eastAsia="仿宋"/>
                <w:sz w:val="24"/>
                <w:szCs w:val="24"/>
              </w:rPr>
              <w:t>占 比</w:t>
            </w:r>
          </w:p>
        </w:tc>
      </w:tr>
      <w:tr w14:paraId="38C66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2263" w:type="dxa"/>
            <w:tcBorders>
              <w:top w:val="single" w:color="auto" w:sz="4" w:space="0"/>
              <w:left w:val="single" w:color="auto" w:sz="4" w:space="0"/>
              <w:bottom w:val="single" w:color="auto" w:sz="4" w:space="0"/>
              <w:right w:val="single" w:color="auto" w:sz="4" w:space="0"/>
            </w:tcBorders>
            <w:noWrap/>
            <w:vAlign w:val="center"/>
          </w:tcPr>
          <w:p w14:paraId="03283BB4">
            <w:pPr>
              <w:spacing w:line="360" w:lineRule="auto"/>
              <w:ind w:right="600" w:firstLine="240" w:firstLineChars="100"/>
              <w:rPr>
                <w:rFonts w:ascii="仿宋" w:hAnsi="仿宋" w:eastAsia="仿宋"/>
                <w:sz w:val="24"/>
                <w:szCs w:val="24"/>
              </w:rPr>
            </w:pPr>
            <w:r>
              <w:rPr>
                <w:rFonts w:hint="eastAsia" w:ascii="仿宋" w:hAnsi="仿宋" w:eastAsia="仿宋"/>
                <w:sz w:val="24"/>
                <w:szCs w:val="24"/>
              </w:rPr>
              <w:t>物业服务费</w:t>
            </w:r>
          </w:p>
        </w:tc>
        <w:tc>
          <w:tcPr>
            <w:tcW w:w="6265" w:type="dxa"/>
            <w:tcBorders>
              <w:top w:val="single" w:color="auto" w:sz="4" w:space="0"/>
              <w:left w:val="single" w:color="auto" w:sz="4" w:space="0"/>
              <w:bottom w:val="single" w:color="auto" w:sz="4" w:space="0"/>
              <w:right w:val="single" w:color="auto" w:sz="4" w:space="0"/>
            </w:tcBorders>
            <w:noWrap/>
            <w:vAlign w:val="center"/>
          </w:tcPr>
          <w:p w14:paraId="2EAB3095">
            <w:pPr>
              <w:spacing w:line="360" w:lineRule="auto"/>
              <w:ind w:right="600"/>
              <w:jc w:val="center"/>
              <w:rPr>
                <w:rFonts w:ascii="仿宋" w:hAnsi="仿宋" w:eastAsia="仿宋"/>
                <w:sz w:val="28"/>
                <w:szCs w:val="28"/>
              </w:rPr>
            </w:pPr>
            <w:r>
              <w:rPr>
                <w:rFonts w:hint="eastAsia" w:ascii="仿宋" w:hAnsi="仿宋" w:eastAsia="仿宋"/>
                <w:sz w:val="24"/>
                <w:szCs w:val="24"/>
              </w:rPr>
              <w:t>物业服务费占充电费用比例：2</w:t>
            </w:r>
            <w:r>
              <w:rPr>
                <w:rFonts w:ascii="仿宋" w:hAnsi="仿宋" w:eastAsia="仿宋"/>
                <w:sz w:val="24"/>
                <w:szCs w:val="24"/>
              </w:rPr>
              <w:t>0%</w:t>
            </w:r>
          </w:p>
        </w:tc>
      </w:tr>
    </w:tbl>
    <w:p w14:paraId="6191ADD0">
      <w:pPr>
        <w:spacing w:line="360" w:lineRule="auto"/>
        <w:ind w:right="600"/>
        <w:rPr>
          <w:rFonts w:ascii="仿宋" w:hAnsi="仿宋" w:eastAsia="仿宋"/>
          <w:sz w:val="24"/>
          <w:szCs w:val="24"/>
        </w:rPr>
      </w:pPr>
      <w:r>
        <w:rPr>
          <w:rFonts w:hint="eastAsia" w:ascii="仿宋" w:hAnsi="仿宋" w:eastAsia="仿宋"/>
          <w:sz w:val="24"/>
          <w:szCs w:val="24"/>
        </w:rPr>
        <w:t>报价单位（盖章）：</w:t>
      </w:r>
    </w:p>
    <w:p w14:paraId="2602B57D">
      <w:pPr>
        <w:spacing w:line="360" w:lineRule="auto"/>
        <w:ind w:right="600"/>
        <w:rPr>
          <w:rFonts w:ascii="仿宋" w:hAnsi="仿宋" w:eastAsia="仿宋"/>
          <w:sz w:val="24"/>
          <w:szCs w:val="24"/>
          <w:u w:val="single"/>
        </w:rPr>
      </w:pPr>
      <w:r>
        <w:rPr>
          <w:rFonts w:hint="eastAsia" w:ascii="仿宋" w:hAnsi="仿宋" w:eastAsia="仿宋"/>
          <w:sz w:val="24"/>
          <w:szCs w:val="24"/>
        </w:rPr>
        <w:t>法定代表人或授权委托人（签字）：</w:t>
      </w:r>
      <w:r>
        <w:rPr>
          <w:rFonts w:hint="eastAsia" w:ascii="仿宋" w:hAnsi="仿宋" w:eastAsia="仿宋"/>
          <w:sz w:val="24"/>
          <w:szCs w:val="24"/>
          <w:u w:val="single"/>
        </w:rPr>
        <w:t xml:space="preserve">               </w:t>
      </w:r>
    </w:p>
    <w:p w14:paraId="79CB1CD7">
      <w:pPr>
        <w:spacing w:line="360" w:lineRule="auto"/>
        <w:ind w:right="600"/>
        <w:rPr>
          <w:rFonts w:ascii="仿宋" w:hAnsi="仿宋" w:eastAsia="仿宋"/>
          <w:sz w:val="24"/>
          <w:szCs w:val="24"/>
        </w:rPr>
      </w:pPr>
      <w:r>
        <w:rPr>
          <w:rFonts w:hint="eastAsia" w:ascii="仿宋" w:hAnsi="仿宋" w:eastAsia="仿宋"/>
          <w:sz w:val="24"/>
          <w:szCs w:val="24"/>
        </w:rPr>
        <w:t>日期：</w:t>
      </w:r>
      <w:r>
        <w:rPr>
          <w:rFonts w:hint="eastAsia" w:ascii="仿宋" w:hAnsi="仿宋" w:eastAsia="仿宋"/>
          <w:sz w:val="24"/>
          <w:szCs w:val="24"/>
          <w:u w:val="single"/>
        </w:rPr>
        <w:t xml:space="preserve">         </w:t>
      </w:r>
      <w:r>
        <w:rPr>
          <w:rFonts w:hint="eastAsia" w:ascii="仿宋" w:hAnsi="仿宋" w:eastAsia="仿宋"/>
          <w:sz w:val="24"/>
          <w:szCs w:val="24"/>
        </w:rPr>
        <w:t>年</w:t>
      </w:r>
      <w:r>
        <w:rPr>
          <w:rFonts w:hint="eastAsia" w:ascii="仿宋" w:hAnsi="仿宋" w:eastAsia="仿宋"/>
          <w:sz w:val="24"/>
          <w:szCs w:val="24"/>
          <w:u w:val="single"/>
        </w:rPr>
        <w:t xml:space="preserve">     </w:t>
      </w:r>
      <w:r>
        <w:rPr>
          <w:rFonts w:hint="eastAsia" w:ascii="仿宋" w:hAnsi="仿宋" w:eastAsia="仿宋"/>
          <w:sz w:val="24"/>
          <w:szCs w:val="24"/>
        </w:rPr>
        <w:t>月</w:t>
      </w:r>
      <w:r>
        <w:rPr>
          <w:rFonts w:hint="eastAsia" w:ascii="仿宋" w:hAnsi="仿宋" w:eastAsia="仿宋"/>
          <w:sz w:val="24"/>
          <w:szCs w:val="24"/>
          <w:u w:val="single"/>
        </w:rPr>
        <w:t xml:space="preserve">     </w:t>
      </w:r>
      <w:r>
        <w:rPr>
          <w:rFonts w:hint="eastAsia" w:ascii="仿宋" w:hAnsi="仿宋" w:eastAsia="仿宋"/>
          <w:sz w:val="24"/>
          <w:szCs w:val="24"/>
        </w:rPr>
        <w:t xml:space="preserve">日                        </w:t>
      </w:r>
    </w:p>
    <w:p w14:paraId="61D2C289">
      <w:pPr>
        <w:spacing w:line="400" w:lineRule="exact"/>
        <w:ind w:right="21" w:rightChars="10" w:firstLine="240" w:firstLineChars="100"/>
        <w:rPr>
          <w:rFonts w:ascii="宋体" w:hAnsi="宋体" w:eastAsia="宋体"/>
          <w:sz w:val="24"/>
          <w:szCs w:val="24"/>
        </w:rPr>
      </w:pPr>
    </w:p>
    <w:p w14:paraId="40422DCF">
      <w:pPr>
        <w:rPr>
          <w:rFonts w:ascii="Calibri" w:hAnsi="Calibri"/>
          <w:sz w:val="32"/>
          <w:szCs w:val="20"/>
        </w:rPr>
      </w:pPr>
    </w:p>
    <w:p w14:paraId="4A0ADFFD">
      <w:pPr>
        <w:spacing w:after="156" w:afterLines="50" w:line="440" w:lineRule="exact"/>
        <w:ind w:firstLine="560" w:firstLineChars="200"/>
        <w:rPr>
          <w:rFonts w:ascii="仿宋" w:hAnsi="仿宋" w:eastAsia="仿宋"/>
          <w:sz w:val="28"/>
          <w:szCs w:val="28"/>
        </w:rPr>
      </w:pPr>
    </w:p>
    <w:p w14:paraId="4AC2A424">
      <w:pPr>
        <w:pStyle w:val="6"/>
        <w:spacing w:beforeAutospacing="0" w:after="156" w:afterLines="50" w:afterAutospacing="0" w:line="440" w:lineRule="exact"/>
        <w:ind w:firstLine="480"/>
        <w:jc w:val="both"/>
        <w:rPr>
          <w:rFonts w:ascii="仿宋" w:hAnsi="仿宋" w:eastAsia="仿宋"/>
          <w:color w:val="000000"/>
          <w:sz w:val="28"/>
          <w:szCs w:val="28"/>
        </w:rPr>
      </w:pPr>
    </w:p>
    <w:p w14:paraId="4B88F4F8">
      <w:pPr>
        <w:pStyle w:val="6"/>
        <w:spacing w:beforeAutospacing="0" w:after="156" w:afterLines="50" w:afterAutospacing="0" w:line="440" w:lineRule="exact"/>
        <w:ind w:firstLine="480"/>
        <w:jc w:val="both"/>
        <w:rPr>
          <w:rFonts w:ascii="仿宋" w:hAnsi="仿宋" w:eastAsia="仿宋"/>
        </w:rPr>
      </w:pPr>
    </w:p>
    <w:p w14:paraId="10AAF8DA">
      <w:pPr>
        <w:pStyle w:val="6"/>
        <w:spacing w:beforeAutospacing="0" w:after="156" w:afterLines="50" w:afterAutospacing="0" w:line="440" w:lineRule="exact"/>
        <w:ind w:firstLine="480"/>
        <w:jc w:val="both"/>
        <w:rPr>
          <w:rFonts w:ascii="仿宋" w:hAnsi="仿宋" w:eastAsia="仿宋"/>
        </w:rPr>
      </w:pPr>
    </w:p>
    <w:p w14:paraId="249BC674">
      <w:pPr>
        <w:pStyle w:val="6"/>
        <w:spacing w:beforeAutospacing="0" w:after="156" w:afterLines="50" w:afterAutospacing="0" w:line="440" w:lineRule="exact"/>
        <w:ind w:firstLine="480"/>
        <w:jc w:val="both"/>
        <w:rPr>
          <w:rFonts w:ascii="仿宋" w:hAnsi="仿宋" w:eastAsia="仿宋"/>
        </w:rPr>
      </w:pPr>
    </w:p>
    <w:p w14:paraId="4AC9956C">
      <w:pPr>
        <w:pStyle w:val="6"/>
        <w:spacing w:beforeAutospacing="0" w:after="156" w:afterLines="50" w:afterAutospacing="0" w:line="440" w:lineRule="exact"/>
        <w:ind w:firstLine="480"/>
        <w:jc w:val="both"/>
        <w:rPr>
          <w:rFonts w:ascii="仿宋" w:hAnsi="仿宋" w:eastAsia="仿宋"/>
        </w:rPr>
      </w:pPr>
    </w:p>
    <w:p w14:paraId="4635B1E0">
      <w:pPr>
        <w:pStyle w:val="6"/>
        <w:spacing w:beforeAutospacing="0" w:after="156" w:afterLines="50" w:afterAutospacing="0" w:line="440" w:lineRule="exact"/>
        <w:ind w:firstLine="480"/>
        <w:jc w:val="both"/>
        <w:rPr>
          <w:rFonts w:ascii="仿宋" w:hAnsi="仿宋" w:eastAsia="仿宋"/>
        </w:rPr>
      </w:pPr>
    </w:p>
    <w:p w14:paraId="604034F2">
      <w:pPr>
        <w:pStyle w:val="6"/>
        <w:spacing w:beforeAutospacing="0" w:after="156" w:afterLines="50" w:afterAutospacing="0" w:line="440" w:lineRule="exact"/>
        <w:ind w:firstLine="480"/>
        <w:jc w:val="both"/>
        <w:rPr>
          <w:rFonts w:ascii="仿宋" w:hAnsi="仿宋" w:eastAsia="仿宋"/>
        </w:rPr>
      </w:pPr>
    </w:p>
    <w:p w14:paraId="1DA60C27">
      <w:pPr>
        <w:pStyle w:val="6"/>
        <w:spacing w:beforeAutospacing="0" w:after="156" w:afterLines="50" w:afterAutospacing="0" w:line="440" w:lineRule="exact"/>
        <w:ind w:firstLine="480"/>
        <w:jc w:val="both"/>
        <w:rPr>
          <w:rFonts w:ascii="仿宋" w:hAnsi="仿宋" w:eastAsia="仿宋"/>
        </w:rPr>
      </w:pPr>
    </w:p>
    <w:p w14:paraId="1848DF39">
      <w:pPr>
        <w:pStyle w:val="6"/>
        <w:spacing w:beforeAutospacing="0" w:after="156" w:afterLines="50" w:afterAutospacing="0" w:line="440" w:lineRule="exact"/>
        <w:ind w:firstLine="480"/>
        <w:jc w:val="both"/>
        <w:rPr>
          <w:rFonts w:ascii="仿宋" w:hAnsi="仿宋" w:eastAsia="仿宋"/>
        </w:rPr>
      </w:pPr>
    </w:p>
    <w:p w14:paraId="1D5804C4">
      <w:pPr>
        <w:pStyle w:val="6"/>
        <w:spacing w:beforeAutospacing="0" w:after="156" w:afterLines="50" w:afterAutospacing="0" w:line="440" w:lineRule="exact"/>
        <w:ind w:firstLine="480"/>
        <w:jc w:val="both"/>
        <w:rPr>
          <w:rFonts w:ascii="仿宋" w:hAnsi="仿宋" w:eastAsia="仿宋"/>
        </w:rPr>
      </w:pPr>
    </w:p>
    <w:p w14:paraId="282624A2">
      <w:pPr>
        <w:pStyle w:val="6"/>
        <w:spacing w:beforeAutospacing="0" w:after="156" w:afterLines="50" w:afterAutospacing="0" w:line="440" w:lineRule="exact"/>
        <w:ind w:firstLine="480"/>
        <w:jc w:val="both"/>
        <w:rPr>
          <w:rFonts w:ascii="仿宋" w:hAnsi="仿宋" w:eastAsia="仿宋"/>
        </w:rPr>
      </w:pPr>
    </w:p>
    <w:p w14:paraId="1F60CCC1">
      <w:pPr>
        <w:spacing w:after="156" w:afterLines="50" w:line="440" w:lineRule="exact"/>
        <w:ind w:firstLine="408"/>
        <w:rPr>
          <w:rFonts w:ascii="仿宋" w:hAnsi="仿宋" w:eastAsia="仿宋"/>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88520136"/>
    </w:sdtPr>
    <w:sdtContent>
      <w:p w14:paraId="04D89B1D">
        <w:pPr>
          <w:pStyle w:val="4"/>
          <w:jc w:val="center"/>
        </w:pPr>
        <w:r>
          <w:fldChar w:fldCharType="begin"/>
        </w:r>
        <w:r>
          <w:instrText xml:space="preserve">PAGE   \* MERGEFORMAT</w:instrText>
        </w:r>
        <w:r>
          <w:fldChar w:fldCharType="separate"/>
        </w:r>
        <w:r>
          <w:rPr>
            <w:lang w:val="zh-CN"/>
          </w:rPr>
          <w:t>15</w:t>
        </w:r>
        <w:r>
          <w:fldChar w:fldCharType="end"/>
        </w:r>
      </w:p>
    </w:sdtContent>
  </w:sdt>
  <w:p w14:paraId="2EFDB00B">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RhMjhkZTBjNmY4NDY3YjAwNmRkOTY4YWI5MDRiMmQifQ=="/>
  </w:docVars>
  <w:rsids>
    <w:rsidRoot w:val="00617D5C"/>
    <w:rsid w:val="000146DC"/>
    <w:rsid w:val="00021475"/>
    <w:rsid w:val="0002244A"/>
    <w:rsid w:val="00054D09"/>
    <w:rsid w:val="00055147"/>
    <w:rsid w:val="000653F8"/>
    <w:rsid w:val="00084F8B"/>
    <w:rsid w:val="00097BF5"/>
    <w:rsid w:val="000A2497"/>
    <w:rsid w:val="000B6592"/>
    <w:rsid w:val="000B6F94"/>
    <w:rsid w:val="000E1E6A"/>
    <w:rsid w:val="000F77FA"/>
    <w:rsid w:val="00136AD7"/>
    <w:rsid w:val="00147869"/>
    <w:rsid w:val="00203F27"/>
    <w:rsid w:val="0023680C"/>
    <w:rsid w:val="00254C8F"/>
    <w:rsid w:val="002802A1"/>
    <w:rsid w:val="002B37EC"/>
    <w:rsid w:val="002C6023"/>
    <w:rsid w:val="002F4ADF"/>
    <w:rsid w:val="0031356D"/>
    <w:rsid w:val="003308EB"/>
    <w:rsid w:val="00343FEC"/>
    <w:rsid w:val="0035737A"/>
    <w:rsid w:val="00384D55"/>
    <w:rsid w:val="003A3759"/>
    <w:rsid w:val="003A517A"/>
    <w:rsid w:val="003C5492"/>
    <w:rsid w:val="00405C3A"/>
    <w:rsid w:val="004207D0"/>
    <w:rsid w:val="00456F4A"/>
    <w:rsid w:val="00460B7F"/>
    <w:rsid w:val="004C790C"/>
    <w:rsid w:val="004F6A32"/>
    <w:rsid w:val="00522905"/>
    <w:rsid w:val="005407A5"/>
    <w:rsid w:val="005666E8"/>
    <w:rsid w:val="00581002"/>
    <w:rsid w:val="005936CB"/>
    <w:rsid w:val="005A0943"/>
    <w:rsid w:val="005D0568"/>
    <w:rsid w:val="005E3B1C"/>
    <w:rsid w:val="00601822"/>
    <w:rsid w:val="006049CD"/>
    <w:rsid w:val="00617D5C"/>
    <w:rsid w:val="0062548D"/>
    <w:rsid w:val="006310B1"/>
    <w:rsid w:val="006438A3"/>
    <w:rsid w:val="0065245F"/>
    <w:rsid w:val="006B46AC"/>
    <w:rsid w:val="006B4816"/>
    <w:rsid w:val="006D7C46"/>
    <w:rsid w:val="006E35CC"/>
    <w:rsid w:val="006E6692"/>
    <w:rsid w:val="007A193C"/>
    <w:rsid w:val="007A3312"/>
    <w:rsid w:val="007A4A79"/>
    <w:rsid w:val="007C48E9"/>
    <w:rsid w:val="007F5779"/>
    <w:rsid w:val="0081207F"/>
    <w:rsid w:val="00842324"/>
    <w:rsid w:val="00843AC1"/>
    <w:rsid w:val="00843E14"/>
    <w:rsid w:val="008767E1"/>
    <w:rsid w:val="00892D61"/>
    <w:rsid w:val="008E25FE"/>
    <w:rsid w:val="008F78AA"/>
    <w:rsid w:val="0095018B"/>
    <w:rsid w:val="009547E2"/>
    <w:rsid w:val="00991195"/>
    <w:rsid w:val="009911B5"/>
    <w:rsid w:val="009A08B6"/>
    <w:rsid w:val="009F1A76"/>
    <w:rsid w:val="00A02D9A"/>
    <w:rsid w:val="00A21657"/>
    <w:rsid w:val="00A262DC"/>
    <w:rsid w:val="00A3514C"/>
    <w:rsid w:val="00A56018"/>
    <w:rsid w:val="00AE040E"/>
    <w:rsid w:val="00AF1AE1"/>
    <w:rsid w:val="00AF5F13"/>
    <w:rsid w:val="00B0563E"/>
    <w:rsid w:val="00B06936"/>
    <w:rsid w:val="00B54CDA"/>
    <w:rsid w:val="00B57B83"/>
    <w:rsid w:val="00B73FB6"/>
    <w:rsid w:val="00B828F4"/>
    <w:rsid w:val="00B85E19"/>
    <w:rsid w:val="00BD00C4"/>
    <w:rsid w:val="00BD6494"/>
    <w:rsid w:val="00BF3FBB"/>
    <w:rsid w:val="00C26144"/>
    <w:rsid w:val="00C54A45"/>
    <w:rsid w:val="00C85ADA"/>
    <w:rsid w:val="00C91187"/>
    <w:rsid w:val="00C915B5"/>
    <w:rsid w:val="00CA00C5"/>
    <w:rsid w:val="00CB63B9"/>
    <w:rsid w:val="00CE2E04"/>
    <w:rsid w:val="00CF783D"/>
    <w:rsid w:val="00D233AF"/>
    <w:rsid w:val="00D23C67"/>
    <w:rsid w:val="00D438B8"/>
    <w:rsid w:val="00D45992"/>
    <w:rsid w:val="00D50831"/>
    <w:rsid w:val="00D5218E"/>
    <w:rsid w:val="00D64410"/>
    <w:rsid w:val="00DA6DEC"/>
    <w:rsid w:val="00DC518C"/>
    <w:rsid w:val="00DD0F87"/>
    <w:rsid w:val="00DD3BEA"/>
    <w:rsid w:val="00DE69B9"/>
    <w:rsid w:val="00DF7C77"/>
    <w:rsid w:val="00E24D4C"/>
    <w:rsid w:val="00E36A12"/>
    <w:rsid w:val="00E720E6"/>
    <w:rsid w:val="00E73163"/>
    <w:rsid w:val="00E75B7E"/>
    <w:rsid w:val="00E97003"/>
    <w:rsid w:val="00E97C15"/>
    <w:rsid w:val="00EB722E"/>
    <w:rsid w:val="00F024F4"/>
    <w:rsid w:val="00F62930"/>
    <w:rsid w:val="00FA4120"/>
    <w:rsid w:val="00FA72BB"/>
    <w:rsid w:val="068D2C8E"/>
    <w:rsid w:val="080E7FF6"/>
    <w:rsid w:val="1F65763B"/>
    <w:rsid w:val="24F20F0E"/>
    <w:rsid w:val="27E7085A"/>
    <w:rsid w:val="2900459B"/>
    <w:rsid w:val="4EF22F11"/>
    <w:rsid w:val="5ECA70A2"/>
    <w:rsid w:val="69592F44"/>
    <w:rsid w:val="76D747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3"/>
    <w:semiHidden/>
    <w:unhideWhenUsed/>
    <w:qFormat/>
    <w:uiPriority w:val="99"/>
    <w:rPr>
      <w:rFonts w:ascii="宋体" w:eastAsia="宋体"/>
      <w:sz w:val="18"/>
      <w:szCs w:val="18"/>
    </w:r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spacing w:beforeAutospacing="1" w:afterAutospacing="1"/>
      <w:jc w:val="left"/>
    </w:pPr>
    <w:rPr>
      <w:rFonts w:cs="Times New Roman"/>
      <w:kern w:val="0"/>
      <w:sz w:val="24"/>
    </w:rPr>
  </w:style>
  <w:style w:type="character" w:styleId="9">
    <w:name w:val="Hyperlink"/>
    <w:qFormat/>
    <w:uiPriority w:val="0"/>
    <w:rPr>
      <w:color w:val="0000FF"/>
      <w:u w:val="single"/>
    </w:rPr>
  </w:style>
  <w:style w:type="character" w:customStyle="1" w:styleId="10">
    <w:name w:val="批注框文本 字符"/>
    <w:basedOn w:val="8"/>
    <w:link w:val="3"/>
    <w:semiHidden/>
    <w:qFormat/>
    <w:uiPriority w:val="99"/>
    <w:rPr>
      <w:sz w:val="18"/>
      <w:szCs w:val="18"/>
    </w:rPr>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character" w:customStyle="1" w:styleId="13">
    <w:name w:val="文档结构图 字符"/>
    <w:basedOn w:val="8"/>
    <w:link w:val="2"/>
    <w:semiHidden/>
    <w:qFormat/>
    <w:uiPriority w:val="99"/>
    <w:rPr>
      <w:rFonts w:ascii="宋体" w:eastAsia="宋体"/>
      <w:sz w:val="18"/>
      <w:szCs w:val="18"/>
    </w:rPr>
  </w:style>
  <w:style w:type="paragraph" w:customStyle="1" w:styleId="14">
    <w:name w:val="普通(Web)8"/>
    <w:basedOn w:val="1"/>
    <w:qFormat/>
    <w:uiPriority w:val="0"/>
    <w:pPr>
      <w:widowControl/>
      <w:spacing w:after="150"/>
      <w:jc w:val="left"/>
    </w:pPr>
    <w:rPr>
      <w:rFonts w:ascii="宋体" w:hAnsi="宋体" w:eastAsia="宋体" w:cs="宋体"/>
      <w:kern w:val="0"/>
      <w:sz w:val="24"/>
      <w:szCs w:val="24"/>
    </w:rPr>
  </w:style>
  <w:style w:type="paragraph" w:styleId="1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6110</Words>
  <Characters>6437</Characters>
  <Lines>55</Lines>
  <Paragraphs>15</Paragraphs>
  <TotalTime>178</TotalTime>
  <ScaleCrop>false</ScaleCrop>
  <LinksUpToDate>false</LinksUpToDate>
  <CharactersWithSpaces>6810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2025-06-05T07:18:00Z</dcterms:created>
  <dc:creator>王丽雯</dc:creator>
  <cp:lastModifiedBy>一休哥</cp:lastModifiedBy>
  <dcterms:modified xsi:type="dcterms:W3CDTF">2025-06-11T08:07:30Z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905FACF67978463192FE0CCA6E1CB057_13</vt:lpwstr>
  </property>
  <property fmtid="{D5CDD505-2E9C-101B-9397-08002B2CF9AE}" pid="4" name="KSOTemplateDocerSaveRecord">
    <vt:lpwstr>eyJoZGlkIjoiYWNhM2ZhMjMxOWE3MmM1NmQ3NjI1MjNlYzdkMDBjZGEiLCJ1c2VySWQiOiIxNDcwMDMwNTIyIn0=</vt:lpwstr>
  </property>
</Properties>
</file>