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E9AA13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大学生生涯发展规划工具包</w:t>
      </w:r>
    </w:p>
    <w:p w14:paraId="02E72BC1">
      <w:pPr>
        <w:ind w:right="86" w:rightChars="41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114300" distR="114300">
            <wp:extent cx="5528310" cy="6969760"/>
            <wp:effectExtent l="0" t="0" r="15240" b="2540"/>
            <wp:docPr id="1" name="图片 1" descr="eaceda3c7e2524493e68544631e9b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aceda3c7e2524493e68544631e9b9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696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1" w:fontKey="{5C5531E2-EF77-465A-8964-9CB4FD4710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20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2025-06-26T02:18:37Z</dcterms:created>
  <dc:creator>顾怡文</dc:creator>
  <cp:lastModifiedBy>朱红艳</cp:lastModifiedBy>
  <dcterms:modified xsi:type="dcterms:W3CDTF">2025-06-26T02:20:44Z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eyJoZGlkIjoiNjBmMWUzYjEzMjJkMjc0MGQ3MzBkYjg4NTY1NmE5NGMiLCJ1c2VySWQiOiIyMzk5OTU1NjkifQ==</vt:lpwstr>
  </property>
  <property fmtid="{D5CDD505-2E9C-101B-9397-08002B2CF9AE}" pid="4" name="ICV">
    <vt:lpwstr>9D92234A5CA14F848F160C96E99A0824_12</vt:lpwstr>
  </property>
</Properties>
</file>