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CAF5D" w14:textId="77777777" w:rsidR="00F429B2" w:rsidRDefault="008661AC" w:rsidP="00F429B2">
      <w:pPr>
        <w:spacing w:line="360" w:lineRule="auto"/>
        <w:jc w:val="center"/>
        <w:rPr>
          <w:rFonts w:ascii="方正小标宋简体" w:eastAsia="方正小标宋简体"/>
          <w:sz w:val="32"/>
          <w:szCs w:val="32"/>
        </w:rPr>
      </w:pPr>
      <w:r w:rsidRPr="00F429B2">
        <w:rPr>
          <w:rFonts w:ascii="方正小标宋简体" w:eastAsia="方正小标宋简体" w:hint="eastAsia"/>
          <w:sz w:val="32"/>
          <w:szCs w:val="32"/>
        </w:rPr>
        <w:t>2025年度决策咨询</w:t>
      </w:r>
      <w:proofErr w:type="gramStart"/>
      <w:r w:rsidRPr="00F429B2">
        <w:rPr>
          <w:rFonts w:ascii="方正小标宋简体" w:eastAsia="方正小标宋简体" w:hint="eastAsia"/>
          <w:sz w:val="32"/>
          <w:szCs w:val="32"/>
        </w:rPr>
        <w:t>研究国</w:t>
      </w:r>
      <w:proofErr w:type="gramEnd"/>
      <w:r w:rsidRPr="00F429B2">
        <w:rPr>
          <w:rFonts w:ascii="方正小标宋简体" w:eastAsia="方正小标宋简体" w:hint="eastAsia"/>
          <w:sz w:val="32"/>
          <w:szCs w:val="32"/>
        </w:rPr>
        <w:t>资国企改革发展专项课题申报</w:t>
      </w:r>
    </w:p>
    <w:p w14:paraId="6C06D870" w14:textId="3502448D" w:rsidR="008661AC" w:rsidRPr="00F429B2" w:rsidRDefault="008661AC" w:rsidP="00F429B2">
      <w:pPr>
        <w:spacing w:line="360" w:lineRule="auto"/>
        <w:jc w:val="center"/>
        <w:rPr>
          <w:rFonts w:ascii="方正小标宋简体" w:eastAsia="方正小标宋简体" w:hint="eastAsia"/>
          <w:sz w:val="32"/>
          <w:szCs w:val="32"/>
        </w:rPr>
      </w:pPr>
      <w:r w:rsidRPr="00F429B2">
        <w:rPr>
          <w:rFonts w:ascii="方正小标宋简体" w:eastAsia="方正小标宋简体" w:hint="eastAsia"/>
          <w:sz w:val="32"/>
          <w:szCs w:val="32"/>
        </w:rPr>
        <w:t>通知</w:t>
      </w:r>
    </w:p>
    <w:p w14:paraId="4F677A7F" w14:textId="6E1277FF"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各有关单位：</w:t>
      </w:r>
    </w:p>
    <w:p w14:paraId="4FD32F7B"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现将2025年度决策咨询</w:t>
      </w:r>
      <w:proofErr w:type="gramStart"/>
      <w:r w:rsidRPr="00F429B2">
        <w:rPr>
          <w:rFonts w:ascii="仿宋_GB2312" w:eastAsia="仿宋_GB2312" w:hint="eastAsia"/>
          <w:sz w:val="28"/>
          <w:szCs w:val="28"/>
        </w:rPr>
        <w:t>研究国</w:t>
      </w:r>
      <w:proofErr w:type="gramEnd"/>
      <w:r w:rsidRPr="00F429B2">
        <w:rPr>
          <w:rFonts w:ascii="仿宋_GB2312" w:eastAsia="仿宋_GB2312" w:hint="eastAsia"/>
          <w:sz w:val="28"/>
          <w:szCs w:val="28"/>
        </w:rPr>
        <w:t>资国企改革发展专项课题面向社会公开征集研究团队。具体事项通知如下：</w:t>
      </w:r>
    </w:p>
    <w:p w14:paraId="73D15740"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一、申报目录</w:t>
      </w:r>
    </w:p>
    <w:p w14:paraId="410D1CB9"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1.关于国有企业职业经理</w:t>
      </w:r>
      <w:proofErr w:type="gramStart"/>
      <w:r w:rsidRPr="00F429B2">
        <w:rPr>
          <w:rFonts w:ascii="仿宋_GB2312" w:eastAsia="仿宋_GB2312" w:hint="eastAsia"/>
          <w:sz w:val="28"/>
          <w:szCs w:val="28"/>
        </w:rPr>
        <w:t>人制</w:t>
      </w:r>
      <w:proofErr w:type="gramEnd"/>
      <w:r w:rsidRPr="00F429B2">
        <w:rPr>
          <w:rFonts w:ascii="仿宋_GB2312" w:eastAsia="仿宋_GB2312" w:hint="eastAsia"/>
          <w:sz w:val="28"/>
          <w:szCs w:val="28"/>
        </w:rPr>
        <w:t>度改革研究</w:t>
      </w:r>
    </w:p>
    <w:p w14:paraId="2F13C365"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2.关于支撑国有企业核心竞争力提升的生产关系研究——以案例对比分析为视角</w:t>
      </w:r>
    </w:p>
    <w:p w14:paraId="243BB98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3.关于国有大宗商品贸易集团培育模式研究</w:t>
      </w:r>
    </w:p>
    <w:p w14:paraId="224966F5"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4.关于国有企业文体</w:t>
      </w:r>
      <w:proofErr w:type="gramStart"/>
      <w:r w:rsidRPr="00F429B2">
        <w:rPr>
          <w:rFonts w:ascii="仿宋_GB2312" w:eastAsia="仿宋_GB2312" w:hint="eastAsia"/>
          <w:sz w:val="28"/>
          <w:szCs w:val="28"/>
        </w:rPr>
        <w:t>旅展资源</w:t>
      </w:r>
      <w:proofErr w:type="gramEnd"/>
      <w:r w:rsidRPr="00F429B2">
        <w:rPr>
          <w:rFonts w:ascii="仿宋_GB2312" w:eastAsia="仿宋_GB2312" w:hint="eastAsia"/>
          <w:sz w:val="28"/>
          <w:szCs w:val="28"/>
        </w:rPr>
        <w:t>协同发展路径研究</w:t>
      </w:r>
    </w:p>
    <w:p w14:paraId="74FF829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5.关于提升国有企业国际化经营能力研究</w:t>
      </w:r>
    </w:p>
    <w:p w14:paraId="0941E6E6"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二、申报对象</w:t>
      </w:r>
    </w:p>
    <w:p w14:paraId="4043CBC3"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本次申报面向全国高等院校、科研机构、社会团体、企业等单位或个人（个人申报须有课题依托管理单位）。</w:t>
      </w:r>
    </w:p>
    <w:p w14:paraId="03ECD940"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申请人须具有较高的政治素质，熟悉决策咨询研究工作，并具有与所申报课题相关的研究基础。</w:t>
      </w:r>
    </w:p>
    <w:p w14:paraId="305724D2"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申请人应是所在单位的全职在岗人员。</w:t>
      </w:r>
    </w:p>
    <w:p w14:paraId="1A2C6B73"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在申报截止日之前，已作为课题负责人承担在</w:t>
      </w:r>
      <w:proofErr w:type="gramStart"/>
      <w:r w:rsidRPr="00F429B2">
        <w:rPr>
          <w:rFonts w:ascii="仿宋_GB2312" w:eastAsia="仿宋_GB2312" w:hint="eastAsia"/>
          <w:b/>
          <w:bCs/>
          <w:sz w:val="28"/>
          <w:szCs w:val="28"/>
        </w:rPr>
        <w:t>研</w:t>
      </w:r>
      <w:proofErr w:type="gramEnd"/>
      <w:r w:rsidRPr="00F429B2">
        <w:rPr>
          <w:rFonts w:ascii="仿宋_GB2312" w:eastAsia="仿宋_GB2312" w:hint="eastAsia"/>
          <w:b/>
          <w:bCs/>
          <w:sz w:val="28"/>
          <w:szCs w:val="28"/>
        </w:rPr>
        <w:t>的市政府决策咨询课题的人员，不得申请。</w:t>
      </w:r>
    </w:p>
    <w:p w14:paraId="3522E87B"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三、申报方式及程序</w:t>
      </w:r>
    </w:p>
    <w:p w14:paraId="173D7806"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1.申报方式：采用网上申报方式，无需提交纸质材料。申请人通</w:t>
      </w:r>
      <w:r w:rsidRPr="00F429B2">
        <w:rPr>
          <w:rFonts w:ascii="仿宋_GB2312" w:eastAsia="仿宋_GB2312" w:hint="eastAsia"/>
          <w:sz w:val="28"/>
          <w:szCs w:val="28"/>
        </w:rPr>
        <w:lastRenderedPageBreak/>
        <w:t>过登录上海市人民政府发展研究中心网站（http://www.fzzx.sh.gov.cn）——“课题申报”栏目——“决策咨询研究项目管理平台”进行申报。</w:t>
      </w:r>
    </w:p>
    <w:p w14:paraId="2C3240A5" w14:textId="3844ED2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2.申报步骤：（1）申请人注册并完成实名认证（已注册用户可直接登录）；（</w:t>
      </w:r>
      <w:r w:rsidR="00F429B2">
        <w:rPr>
          <w:rFonts w:ascii="仿宋_GB2312" w:eastAsia="仿宋_GB2312" w:hint="eastAsia"/>
          <w:sz w:val="28"/>
          <w:szCs w:val="28"/>
        </w:rPr>
        <w:t>2</w:t>
      </w:r>
      <w:r w:rsidRPr="00F429B2">
        <w:rPr>
          <w:rFonts w:ascii="仿宋_GB2312" w:eastAsia="仿宋_GB2312" w:hint="eastAsia"/>
          <w:sz w:val="28"/>
          <w:szCs w:val="28"/>
        </w:rPr>
        <w:t>）申请人填写提交申报材料；（</w:t>
      </w:r>
      <w:r w:rsidR="00F429B2">
        <w:rPr>
          <w:rFonts w:ascii="仿宋_GB2312" w:eastAsia="仿宋_GB2312" w:hint="eastAsia"/>
          <w:sz w:val="28"/>
          <w:szCs w:val="28"/>
        </w:rPr>
        <w:t>3</w:t>
      </w:r>
      <w:r w:rsidRPr="00F429B2">
        <w:rPr>
          <w:rFonts w:ascii="仿宋_GB2312" w:eastAsia="仿宋_GB2312" w:hint="eastAsia"/>
          <w:sz w:val="28"/>
          <w:szCs w:val="28"/>
        </w:rPr>
        <w:t>）申请人所在单位完成网上审核。</w:t>
      </w:r>
    </w:p>
    <w:p w14:paraId="1EE6B1D7"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3.课题指南获取：登录上海市人民政府发展研究中心网站查阅《2025年度决策咨询研究国资国企改革发展专项课题指南》。</w:t>
      </w:r>
    </w:p>
    <w:p w14:paraId="13414BEA"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4.申报数量限制：</w:t>
      </w:r>
      <w:r w:rsidRPr="00F429B2">
        <w:rPr>
          <w:rFonts w:ascii="仿宋_GB2312" w:eastAsia="仿宋_GB2312" w:hint="eastAsia"/>
          <w:b/>
          <w:bCs/>
          <w:sz w:val="28"/>
          <w:szCs w:val="28"/>
        </w:rPr>
        <w:t>同一申请人限申报1项。</w:t>
      </w:r>
    </w:p>
    <w:p w14:paraId="4B0A1C6F"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5.在线填写要求：申请人应仔细阅读课题指南和填表说明；申报材料应简明扼要，突出重点和关键，其中《课题论证活页》部分不得出现课题申请人及成员的姓名和单位，字数限3000字，图表不超过规定尺寸。</w:t>
      </w:r>
    </w:p>
    <w:p w14:paraId="5DF1B2A7" w14:textId="2A767B0A"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 xml:space="preserve">6. </w:t>
      </w:r>
      <w:r w:rsidRPr="00F429B2">
        <w:rPr>
          <w:rFonts w:ascii="仿宋_GB2312" w:eastAsia="仿宋_GB2312" w:hint="eastAsia"/>
          <w:b/>
          <w:bCs/>
          <w:sz w:val="28"/>
          <w:szCs w:val="28"/>
        </w:rPr>
        <w:t>网上申报受理日期：2025年4月30日（星期三）至5月1</w:t>
      </w:r>
      <w:r w:rsidR="00F429B2" w:rsidRPr="00F429B2">
        <w:rPr>
          <w:rFonts w:ascii="仿宋_GB2312" w:eastAsia="仿宋_GB2312" w:hint="eastAsia"/>
          <w:b/>
          <w:bCs/>
          <w:sz w:val="28"/>
          <w:szCs w:val="28"/>
        </w:rPr>
        <w:t>5</w:t>
      </w:r>
      <w:r w:rsidRPr="00F429B2">
        <w:rPr>
          <w:rFonts w:ascii="仿宋_GB2312" w:eastAsia="仿宋_GB2312" w:hint="eastAsia"/>
          <w:b/>
          <w:bCs/>
          <w:sz w:val="28"/>
          <w:szCs w:val="28"/>
        </w:rPr>
        <w:t>日（星期</w:t>
      </w:r>
      <w:r w:rsidR="00F429B2" w:rsidRPr="00F429B2">
        <w:rPr>
          <w:rFonts w:ascii="仿宋_GB2312" w:eastAsia="仿宋_GB2312" w:hint="eastAsia"/>
          <w:b/>
          <w:bCs/>
          <w:sz w:val="28"/>
          <w:szCs w:val="28"/>
        </w:rPr>
        <w:t>四</w:t>
      </w:r>
      <w:r w:rsidRPr="00F429B2">
        <w:rPr>
          <w:rFonts w:ascii="仿宋_GB2312" w:eastAsia="仿宋_GB2312" w:hint="eastAsia"/>
          <w:b/>
          <w:bCs/>
          <w:sz w:val="28"/>
          <w:szCs w:val="28"/>
        </w:rPr>
        <w:t>）</w:t>
      </w:r>
      <w:r w:rsidR="00F429B2" w:rsidRPr="00F429B2">
        <w:rPr>
          <w:rFonts w:ascii="仿宋_GB2312" w:eastAsia="仿宋_GB2312" w:hint="eastAsia"/>
          <w:b/>
          <w:bCs/>
          <w:sz w:val="28"/>
          <w:szCs w:val="28"/>
        </w:rPr>
        <w:t>。</w:t>
      </w:r>
    </w:p>
    <w:p w14:paraId="1C5F92D4"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四、评审程序</w:t>
      </w:r>
    </w:p>
    <w:p w14:paraId="1990808C"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1.申报受理后，由受理单位组织进行两轮评审。</w:t>
      </w:r>
    </w:p>
    <w:p w14:paraId="57A030CE"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2.评审结果将于2025年6月在上海市人民政府发展研究中心网站和上海市国有资产监督管理委员会网站等渠道向社会公布。</w:t>
      </w:r>
    </w:p>
    <w:p w14:paraId="377D46A6"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五、研究进度要求</w:t>
      </w:r>
    </w:p>
    <w:p w14:paraId="5C0C12CA"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1.课题组按要求须填报《上海市人民政府决策咨询研究项目计划任务书》，并提交详细研究提纲和具体实施计划。</w:t>
      </w:r>
    </w:p>
    <w:p w14:paraId="5639A9F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lastRenderedPageBreak/>
        <w:t> </w:t>
      </w:r>
      <w:r w:rsidRPr="00F429B2">
        <w:rPr>
          <w:rFonts w:ascii="仿宋_GB2312" w:eastAsia="仿宋_GB2312" w:hint="eastAsia"/>
          <w:sz w:val="28"/>
          <w:szCs w:val="28"/>
        </w:rPr>
        <w:t> </w:t>
      </w:r>
      <w:r w:rsidRPr="00F429B2">
        <w:rPr>
          <w:rFonts w:ascii="仿宋_GB2312" w:eastAsia="仿宋_GB2312" w:hint="eastAsia"/>
          <w:sz w:val="28"/>
          <w:szCs w:val="28"/>
        </w:rPr>
        <w:t>2.研究期限为2025年6月至10月。</w:t>
      </w:r>
    </w:p>
    <w:p w14:paraId="7D3A8015"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3.提交研究成果包括：研究报告（含摘要），由受理单位组织专家</w:t>
      </w:r>
      <w:proofErr w:type="gramStart"/>
      <w:r w:rsidRPr="00F429B2">
        <w:rPr>
          <w:rFonts w:ascii="仿宋_GB2312" w:eastAsia="仿宋_GB2312" w:hint="eastAsia"/>
          <w:sz w:val="28"/>
          <w:szCs w:val="28"/>
        </w:rPr>
        <w:t>开展结项评审</w:t>
      </w:r>
      <w:proofErr w:type="gramEnd"/>
      <w:r w:rsidRPr="00F429B2">
        <w:rPr>
          <w:rFonts w:ascii="仿宋_GB2312" w:eastAsia="仿宋_GB2312" w:hint="eastAsia"/>
          <w:sz w:val="28"/>
          <w:szCs w:val="28"/>
        </w:rPr>
        <w:t>验收。</w:t>
      </w:r>
    </w:p>
    <w:p w14:paraId="4850A289"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六、经费资助</w:t>
      </w:r>
    </w:p>
    <w:p w14:paraId="587833D1"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资助经费由上海市国有资产监督管理委员会承担，每项课题资助人民币15万元。</w:t>
      </w:r>
    </w:p>
    <w:p w14:paraId="1668AECC"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七、联系方式</w:t>
      </w:r>
    </w:p>
    <w:p w14:paraId="490681BB"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受理部门：上海市国有资产监督管理委员会研究室</w:t>
      </w:r>
    </w:p>
    <w:p w14:paraId="19ABB090"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联系地址：上海市大沽路100号1521室（邮编：200003）</w:t>
      </w:r>
    </w:p>
    <w:p w14:paraId="6AA13EAE"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联 系 人：赵晨</w:t>
      </w:r>
    </w:p>
    <w:p w14:paraId="46EE862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联系电话：23115958</w:t>
      </w:r>
    </w:p>
    <w:p w14:paraId="479D8A6B" w14:textId="3AC6089F" w:rsidR="008661AC" w:rsidRDefault="008661AC" w:rsidP="00F429B2">
      <w:pPr>
        <w:spacing w:line="360" w:lineRule="auto"/>
        <w:rPr>
          <w:rFonts w:ascii="仿宋_GB2312" w:eastAsia="仿宋_GB2312"/>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电子信箱：</w:t>
      </w:r>
      <w:hyperlink r:id="rId6" w:history="1">
        <w:r w:rsidR="00F429B2" w:rsidRPr="00C73F98">
          <w:rPr>
            <w:rStyle w:val="af2"/>
            <w:rFonts w:ascii="仿宋_GB2312" w:eastAsia="仿宋_GB2312" w:hint="eastAsia"/>
            <w:sz w:val="28"/>
            <w:szCs w:val="28"/>
          </w:rPr>
          <w:t>zhaochen@gzw.sh.gov.cn</w:t>
        </w:r>
      </w:hyperlink>
    </w:p>
    <w:p w14:paraId="22A37B30" w14:textId="1754960E" w:rsidR="00F429B2" w:rsidRPr="00F429B2" w:rsidRDefault="00F429B2" w:rsidP="00F429B2">
      <w:pPr>
        <w:spacing w:line="360" w:lineRule="auto"/>
        <w:rPr>
          <w:rFonts w:ascii="仿宋_GB2312" w:eastAsia="仿宋_GB2312" w:hint="eastAsia"/>
          <w:sz w:val="28"/>
          <w:szCs w:val="28"/>
        </w:rPr>
      </w:pPr>
      <w:r w:rsidRPr="00AC707B">
        <w:rPr>
          <w:rFonts w:ascii="仿宋_GB2312" w:eastAsia="仿宋_GB2312" w:hint="eastAsia"/>
          <w:sz w:val="28"/>
          <w:szCs w:val="28"/>
        </w:rPr>
        <w:t> </w:t>
      </w:r>
      <w:bookmarkStart w:id="0" w:name="_Hlk196857998"/>
      <w:r>
        <w:rPr>
          <w:rFonts w:ascii="仿宋_GB2312" w:eastAsia="仿宋_GB2312" w:hint="eastAsia"/>
          <w:sz w:val="28"/>
          <w:szCs w:val="28"/>
        </w:rPr>
        <w:t xml:space="preserve">  </w:t>
      </w:r>
      <w:r>
        <w:rPr>
          <w:rFonts w:ascii="仿宋_GB2312" w:eastAsia="仿宋_GB2312" w:hint="eastAsia"/>
          <w:sz w:val="28"/>
          <w:szCs w:val="28"/>
        </w:rPr>
        <w:t>校内联系人：程琳   13621663467</w:t>
      </w:r>
      <w:bookmarkEnd w:id="0"/>
    </w:p>
    <w:p w14:paraId="01D3F534"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sz w:val="28"/>
          <w:szCs w:val="28"/>
        </w:rPr>
        <w:t>特此通知。</w:t>
      </w:r>
    </w:p>
    <w:p w14:paraId="50A47FF7" w14:textId="77777777" w:rsidR="00F429B2" w:rsidRDefault="008661AC" w:rsidP="00F429B2">
      <w:pPr>
        <w:spacing w:line="360" w:lineRule="auto"/>
        <w:rPr>
          <w:rFonts w:ascii="仿宋_GB2312" w:eastAsia="仿宋_GB2312"/>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p>
    <w:p w14:paraId="68DB9CFB" w14:textId="77777777" w:rsidR="00F429B2" w:rsidRDefault="00F429B2" w:rsidP="00F429B2">
      <w:pPr>
        <w:spacing w:line="360" w:lineRule="auto"/>
        <w:rPr>
          <w:rFonts w:ascii="仿宋_GB2312" w:eastAsia="仿宋_GB2312"/>
          <w:sz w:val="28"/>
          <w:szCs w:val="28"/>
        </w:rPr>
      </w:pPr>
    </w:p>
    <w:p w14:paraId="3B72868F" w14:textId="51CE0D28"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附件：2025年度决策咨询</w:t>
      </w:r>
      <w:proofErr w:type="gramStart"/>
      <w:r w:rsidRPr="00F429B2">
        <w:rPr>
          <w:rFonts w:ascii="仿宋_GB2312" w:eastAsia="仿宋_GB2312" w:hint="eastAsia"/>
          <w:sz w:val="28"/>
          <w:szCs w:val="28"/>
        </w:rPr>
        <w:t>研究国</w:t>
      </w:r>
      <w:proofErr w:type="gramEnd"/>
      <w:r w:rsidRPr="00F429B2">
        <w:rPr>
          <w:rFonts w:ascii="仿宋_GB2312" w:eastAsia="仿宋_GB2312" w:hint="eastAsia"/>
          <w:sz w:val="28"/>
          <w:szCs w:val="28"/>
        </w:rPr>
        <w:t>资国企改革发展专项课题指南</w:t>
      </w:r>
    </w:p>
    <w:p w14:paraId="33A0FE69" w14:textId="77777777" w:rsidR="008661AC" w:rsidRDefault="008661AC" w:rsidP="00F429B2">
      <w:pPr>
        <w:spacing w:line="360" w:lineRule="auto"/>
        <w:rPr>
          <w:rFonts w:ascii="仿宋_GB2312" w:eastAsia="仿宋_GB2312"/>
          <w:sz w:val="28"/>
          <w:szCs w:val="28"/>
        </w:rPr>
      </w:pPr>
      <w:r w:rsidRPr="00F429B2">
        <w:rPr>
          <w:rFonts w:ascii="仿宋_GB2312" w:eastAsia="仿宋_GB2312" w:hint="eastAsia"/>
          <w:sz w:val="28"/>
          <w:szCs w:val="28"/>
        </w:rPr>
        <w:t> </w:t>
      </w:r>
    </w:p>
    <w:p w14:paraId="69A7B012" w14:textId="77777777" w:rsidR="00F429B2" w:rsidRPr="00F429B2" w:rsidRDefault="00F429B2" w:rsidP="00F429B2">
      <w:pPr>
        <w:spacing w:line="360" w:lineRule="auto"/>
        <w:rPr>
          <w:rFonts w:ascii="仿宋_GB2312" w:eastAsia="仿宋_GB2312" w:hint="eastAsia"/>
          <w:sz w:val="28"/>
          <w:szCs w:val="28"/>
        </w:rPr>
      </w:pPr>
    </w:p>
    <w:p w14:paraId="72DFD073" w14:textId="77777777" w:rsidR="00F429B2" w:rsidRDefault="00F429B2" w:rsidP="00F429B2">
      <w:pPr>
        <w:adjustRightInd w:val="0"/>
        <w:snapToGrid w:val="0"/>
        <w:spacing w:line="360" w:lineRule="auto"/>
        <w:jc w:val="right"/>
        <w:rPr>
          <w:rFonts w:ascii="仿宋_GB2312" w:eastAsia="仿宋_GB2312"/>
          <w:sz w:val="28"/>
          <w:szCs w:val="28"/>
        </w:rPr>
      </w:pPr>
      <w:bookmarkStart w:id="1" w:name="_Hlk196857496"/>
      <w:bookmarkStart w:id="2" w:name="_Hlk196858013"/>
      <w:r>
        <w:rPr>
          <w:rFonts w:ascii="仿宋_GB2312" w:eastAsia="仿宋_GB2312" w:hint="eastAsia"/>
          <w:sz w:val="28"/>
          <w:szCs w:val="28"/>
        </w:rPr>
        <w:t>上海对外经贸大学</w:t>
      </w:r>
    </w:p>
    <w:p w14:paraId="0F4CC278" w14:textId="77777777" w:rsidR="00F429B2" w:rsidRDefault="00F429B2" w:rsidP="00F429B2">
      <w:pPr>
        <w:adjustRightInd w:val="0"/>
        <w:snapToGrid w:val="0"/>
        <w:spacing w:line="360" w:lineRule="auto"/>
        <w:jc w:val="right"/>
        <w:rPr>
          <w:rFonts w:ascii="仿宋_GB2312" w:eastAsia="仿宋_GB2312"/>
          <w:sz w:val="28"/>
          <w:szCs w:val="28"/>
        </w:rPr>
      </w:pPr>
      <w:r>
        <w:rPr>
          <w:rFonts w:ascii="仿宋_GB2312" w:eastAsia="仿宋_GB2312" w:hint="eastAsia"/>
          <w:sz w:val="28"/>
          <w:szCs w:val="28"/>
        </w:rPr>
        <w:t>科研处</w:t>
      </w:r>
    </w:p>
    <w:p w14:paraId="06A62C4D" w14:textId="23702D89" w:rsidR="008661AC" w:rsidRPr="00F429B2" w:rsidRDefault="00F429B2" w:rsidP="00F429B2">
      <w:pPr>
        <w:adjustRightInd w:val="0"/>
        <w:snapToGrid w:val="0"/>
        <w:spacing w:line="360" w:lineRule="auto"/>
        <w:jc w:val="right"/>
        <w:rPr>
          <w:rFonts w:ascii="仿宋_GB2312" w:eastAsia="仿宋_GB2312" w:hint="eastAsia"/>
          <w:sz w:val="28"/>
          <w:szCs w:val="28"/>
        </w:rPr>
      </w:pPr>
      <w:r>
        <w:rPr>
          <w:rFonts w:ascii="仿宋_GB2312" w:eastAsia="仿宋_GB2312" w:hint="eastAsia"/>
          <w:sz w:val="28"/>
          <w:szCs w:val="28"/>
        </w:rPr>
        <w:t>2025年4月29日</w:t>
      </w:r>
      <w:bookmarkEnd w:id="1"/>
      <w:bookmarkEnd w:id="2"/>
    </w:p>
    <w:p w14:paraId="2FFE2D89" w14:textId="7213C58C"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lastRenderedPageBreak/>
        <w:t>附件</w:t>
      </w:r>
      <w:r w:rsidR="00F429B2">
        <w:rPr>
          <w:rFonts w:ascii="仿宋_GB2312" w:eastAsia="仿宋_GB2312" w:hint="eastAsia"/>
          <w:sz w:val="28"/>
          <w:szCs w:val="28"/>
        </w:rPr>
        <w:t>：</w:t>
      </w:r>
    </w:p>
    <w:p w14:paraId="4525B703" w14:textId="1D6E5A9A" w:rsidR="008661AC" w:rsidRPr="00F429B2" w:rsidRDefault="008661AC" w:rsidP="00F429B2">
      <w:pPr>
        <w:spacing w:line="360" w:lineRule="auto"/>
        <w:jc w:val="center"/>
        <w:rPr>
          <w:rFonts w:ascii="方正小标宋简体" w:eastAsia="方正小标宋简体" w:hint="eastAsia"/>
          <w:sz w:val="32"/>
          <w:szCs w:val="32"/>
        </w:rPr>
      </w:pPr>
      <w:r w:rsidRPr="00F429B2">
        <w:rPr>
          <w:rFonts w:ascii="方正小标宋简体" w:eastAsia="方正小标宋简体" w:hint="eastAsia"/>
          <w:sz w:val="32"/>
          <w:szCs w:val="32"/>
        </w:rPr>
        <w:t>2025年度决策咨询</w:t>
      </w:r>
      <w:proofErr w:type="gramStart"/>
      <w:r w:rsidRPr="00F429B2">
        <w:rPr>
          <w:rFonts w:ascii="方正小标宋简体" w:eastAsia="方正小标宋简体" w:hint="eastAsia"/>
          <w:sz w:val="32"/>
          <w:szCs w:val="32"/>
        </w:rPr>
        <w:t>研究国</w:t>
      </w:r>
      <w:proofErr w:type="gramEnd"/>
      <w:r w:rsidRPr="00F429B2">
        <w:rPr>
          <w:rFonts w:ascii="方正小标宋简体" w:eastAsia="方正小标宋简体" w:hint="eastAsia"/>
          <w:sz w:val="32"/>
          <w:szCs w:val="32"/>
        </w:rPr>
        <w:t>资国企改革发展专项课题指南</w:t>
      </w:r>
    </w:p>
    <w:p w14:paraId="52EACA8D" w14:textId="77777777" w:rsidR="008661AC" w:rsidRPr="00F429B2" w:rsidRDefault="008661AC" w:rsidP="00F429B2">
      <w:pPr>
        <w:spacing w:beforeLines="50" w:before="156"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一、关于国有企业职业经理</w:t>
      </w:r>
      <w:proofErr w:type="gramStart"/>
      <w:r w:rsidRPr="00F429B2">
        <w:rPr>
          <w:rFonts w:ascii="仿宋_GB2312" w:eastAsia="仿宋_GB2312" w:hint="eastAsia"/>
          <w:b/>
          <w:bCs/>
          <w:sz w:val="28"/>
          <w:szCs w:val="28"/>
        </w:rPr>
        <w:t>人制</w:t>
      </w:r>
      <w:proofErr w:type="gramEnd"/>
      <w:r w:rsidRPr="00F429B2">
        <w:rPr>
          <w:rFonts w:ascii="仿宋_GB2312" w:eastAsia="仿宋_GB2312" w:hint="eastAsia"/>
          <w:b/>
          <w:bCs/>
          <w:sz w:val="28"/>
          <w:szCs w:val="28"/>
        </w:rPr>
        <w:t>度改革研究</w:t>
      </w:r>
    </w:p>
    <w:p w14:paraId="1469629C"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研究背景与目的：</w:t>
      </w:r>
      <w:r w:rsidRPr="00F429B2">
        <w:rPr>
          <w:rFonts w:ascii="仿宋_GB2312" w:eastAsia="仿宋_GB2312" w:hint="eastAsia"/>
          <w:sz w:val="28"/>
          <w:szCs w:val="28"/>
        </w:rPr>
        <w:t>职业经理</w:t>
      </w:r>
      <w:proofErr w:type="gramStart"/>
      <w:r w:rsidRPr="00F429B2">
        <w:rPr>
          <w:rFonts w:ascii="仿宋_GB2312" w:eastAsia="仿宋_GB2312" w:hint="eastAsia"/>
          <w:sz w:val="28"/>
          <w:szCs w:val="28"/>
        </w:rPr>
        <w:t>人制</w:t>
      </w:r>
      <w:proofErr w:type="gramEnd"/>
      <w:r w:rsidRPr="00F429B2">
        <w:rPr>
          <w:rFonts w:ascii="仿宋_GB2312" w:eastAsia="仿宋_GB2312" w:hint="eastAsia"/>
          <w:sz w:val="28"/>
          <w:szCs w:val="28"/>
        </w:rPr>
        <w:t>度是国有企业确立市场主体地位、完善公司治理结构、创新企业管理机制以及提升企业市场竞争力的重要手段。目前，职业经理</w:t>
      </w:r>
      <w:proofErr w:type="gramStart"/>
      <w:r w:rsidRPr="00F429B2">
        <w:rPr>
          <w:rFonts w:ascii="仿宋_GB2312" w:eastAsia="仿宋_GB2312" w:hint="eastAsia"/>
          <w:sz w:val="28"/>
          <w:szCs w:val="28"/>
        </w:rPr>
        <w:t>人制</w:t>
      </w:r>
      <w:proofErr w:type="gramEnd"/>
      <w:r w:rsidRPr="00F429B2">
        <w:rPr>
          <w:rFonts w:ascii="仿宋_GB2312" w:eastAsia="仿宋_GB2312" w:hint="eastAsia"/>
          <w:sz w:val="28"/>
          <w:szCs w:val="28"/>
        </w:rPr>
        <w:t>度已成为本轮国有企业改革深化提升的主要内容。本课题拟围绕职业经理</w:t>
      </w:r>
      <w:proofErr w:type="gramStart"/>
      <w:r w:rsidRPr="00F429B2">
        <w:rPr>
          <w:rFonts w:ascii="仿宋_GB2312" w:eastAsia="仿宋_GB2312" w:hint="eastAsia"/>
          <w:sz w:val="28"/>
          <w:szCs w:val="28"/>
        </w:rPr>
        <w:t>人制</w:t>
      </w:r>
      <w:proofErr w:type="gramEnd"/>
      <w:r w:rsidRPr="00F429B2">
        <w:rPr>
          <w:rFonts w:ascii="仿宋_GB2312" w:eastAsia="仿宋_GB2312" w:hint="eastAsia"/>
          <w:sz w:val="28"/>
          <w:szCs w:val="28"/>
        </w:rPr>
        <w:t>度的创新、完善以及职业经理人的基本定义、角色定位、价值创造和市场决定机制等内容，开展关于国有企业职业经理</w:t>
      </w:r>
      <w:proofErr w:type="gramStart"/>
      <w:r w:rsidRPr="00F429B2">
        <w:rPr>
          <w:rFonts w:ascii="仿宋_GB2312" w:eastAsia="仿宋_GB2312" w:hint="eastAsia"/>
          <w:sz w:val="28"/>
          <w:szCs w:val="28"/>
        </w:rPr>
        <w:t>人制</w:t>
      </w:r>
      <w:proofErr w:type="gramEnd"/>
      <w:r w:rsidRPr="00F429B2">
        <w:rPr>
          <w:rFonts w:ascii="仿宋_GB2312" w:eastAsia="仿宋_GB2312" w:hint="eastAsia"/>
          <w:sz w:val="28"/>
          <w:szCs w:val="28"/>
        </w:rPr>
        <w:t>度改革研究。</w:t>
      </w:r>
    </w:p>
    <w:p w14:paraId="29F8B6EA"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研究方向和重点</w:t>
      </w:r>
      <w:r w:rsidRPr="00F429B2">
        <w:rPr>
          <w:rFonts w:ascii="仿宋_GB2312" w:eastAsia="仿宋_GB2312" w:hint="eastAsia"/>
          <w:sz w:val="28"/>
          <w:szCs w:val="28"/>
        </w:rPr>
        <w:t>：一是深入剖析上海国有企业“职业经理人”现状、存在问题、机遇挑战。二是建立体现上海国有企业特点的职业经理</w:t>
      </w:r>
      <w:proofErr w:type="gramStart"/>
      <w:r w:rsidRPr="00F429B2">
        <w:rPr>
          <w:rFonts w:ascii="仿宋_GB2312" w:eastAsia="仿宋_GB2312" w:hint="eastAsia"/>
          <w:sz w:val="28"/>
          <w:szCs w:val="28"/>
        </w:rPr>
        <w:t>人制</w:t>
      </w:r>
      <w:proofErr w:type="gramEnd"/>
      <w:r w:rsidRPr="00F429B2">
        <w:rPr>
          <w:rFonts w:ascii="仿宋_GB2312" w:eastAsia="仿宋_GB2312" w:hint="eastAsia"/>
          <w:sz w:val="28"/>
          <w:szCs w:val="28"/>
        </w:rPr>
        <w:t>度，细化职业经理人“市场化选聘、契约化管理、差异化薪酬、市场化退出”的原则标准。三是进一步优化激励约束机制、激发职业经理人内生动力，推进完善国有企业公司治理。</w:t>
      </w:r>
    </w:p>
    <w:p w14:paraId="458E0A5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实施进度与要求</w:t>
      </w:r>
      <w:r w:rsidRPr="00F429B2">
        <w:rPr>
          <w:rFonts w:ascii="仿宋_GB2312" w:eastAsia="仿宋_GB2312" w:hint="eastAsia"/>
          <w:sz w:val="28"/>
          <w:szCs w:val="28"/>
        </w:rPr>
        <w:t>：2025年7月底，提交中期研究成果和至少一篇专题报告（3000字左右）；2025年10月底，完成研究任务，提交总报告。</w:t>
      </w:r>
    </w:p>
    <w:p w14:paraId="752FBBEA"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二、关于支撑国有企业核心竞争力提升的生产关系研究——以案例对比分析为视角</w:t>
      </w:r>
    </w:p>
    <w:p w14:paraId="4348FA11"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研究背景与目的</w:t>
      </w:r>
      <w:r w:rsidRPr="00F429B2">
        <w:rPr>
          <w:rFonts w:ascii="仿宋_GB2312" w:eastAsia="仿宋_GB2312" w:hint="eastAsia"/>
          <w:sz w:val="28"/>
          <w:szCs w:val="28"/>
        </w:rPr>
        <w:t>：提升国有企业核心竞争力是党的二十届三中全会提出的明确要求，是推动国有企业高质量发展的关键命题。习近平总书记强调，生产关系必须与生产力发展要求相适应。要通过体制机</w:t>
      </w:r>
      <w:r w:rsidRPr="00F429B2">
        <w:rPr>
          <w:rFonts w:ascii="仿宋_GB2312" w:eastAsia="仿宋_GB2312" w:hint="eastAsia"/>
          <w:sz w:val="28"/>
          <w:szCs w:val="28"/>
        </w:rPr>
        <w:lastRenderedPageBreak/>
        <w:t>制改革打通生产要素创新性配置的堵点，为国企核心竞争力跃升提供制度保障。本课题立足新时代深化国企改革的新要求，开展关于支撑国有企业核心竞争力提升的生产关系研究。</w:t>
      </w:r>
    </w:p>
    <w:p w14:paraId="61AE33F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研究方向和重点</w:t>
      </w:r>
      <w:r w:rsidRPr="00F429B2">
        <w:rPr>
          <w:rFonts w:ascii="仿宋_GB2312" w:eastAsia="仿宋_GB2312" w:hint="eastAsia"/>
          <w:sz w:val="28"/>
          <w:szCs w:val="28"/>
        </w:rPr>
        <w:t>：一是系统梳理上海国有企业在科技创新、产业布局、公司治理等方面生产关系调整的实践成效。二是开展世界一流企业的相关案例对比分析研究。三是剖析制约核心竞争力提升的深层次矛盾。四是研究提出支撑国有企业核心竞争力提升的生产关系重构建议。</w:t>
      </w:r>
    </w:p>
    <w:p w14:paraId="730C8A1B"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b/>
          <w:bCs/>
          <w:sz w:val="28"/>
          <w:szCs w:val="28"/>
        </w:rPr>
        <w:t> </w:t>
      </w:r>
      <w:r w:rsidRPr="00F429B2">
        <w:rPr>
          <w:rFonts w:ascii="仿宋_GB2312" w:eastAsia="仿宋_GB2312" w:hint="eastAsia"/>
          <w:b/>
          <w:bCs/>
          <w:sz w:val="28"/>
          <w:szCs w:val="28"/>
        </w:rPr>
        <w:t>实施进度与要求</w:t>
      </w:r>
      <w:r w:rsidRPr="00F429B2">
        <w:rPr>
          <w:rFonts w:ascii="仿宋_GB2312" w:eastAsia="仿宋_GB2312" w:hint="eastAsia"/>
          <w:sz w:val="28"/>
          <w:szCs w:val="28"/>
        </w:rPr>
        <w:t>：2025年7月底，提交中期研究成果和至少一篇专题报告（3000字左右）；2025年10月底，完成研究任务，提交总报告。</w:t>
      </w:r>
    </w:p>
    <w:p w14:paraId="431B25EB"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三、关于国有大宗商品贸易集团培育模式研究</w:t>
      </w:r>
    </w:p>
    <w:p w14:paraId="038A88CF"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研究背景与目的</w:t>
      </w:r>
      <w:r w:rsidRPr="00F429B2">
        <w:rPr>
          <w:rFonts w:ascii="仿宋_GB2312" w:eastAsia="仿宋_GB2312" w:hint="eastAsia"/>
          <w:sz w:val="28"/>
          <w:szCs w:val="28"/>
        </w:rPr>
        <w:t>：为贯彻落实十二届上海市委六次全会精神，加快培育与国际贸易中心相匹配的大型贸易企业，提升产业</w:t>
      </w:r>
      <w:proofErr w:type="gramStart"/>
      <w:r w:rsidRPr="00F429B2">
        <w:rPr>
          <w:rFonts w:ascii="仿宋_GB2312" w:eastAsia="仿宋_GB2312" w:hint="eastAsia"/>
          <w:sz w:val="28"/>
          <w:szCs w:val="28"/>
        </w:rPr>
        <w:t>链供应</w:t>
      </w:r>
      <w:proofErr w:type="gramEnd"/>
      <w:r w:rsidRPr="00F429B2">
        <w:rPr>
          <w:rFonts w:ascii="仿宋_GB2312" w:eastAsia="仿宋_GB2312" w:hint="eastAsia"/>
          <w:sz w:val="28"/>
          <w:szCs w:val="28"/>
        </w:rPr>
        <w:t>链韧性，保障国家经济安全，打通产业、供应链、金融等要素的</w:t>
      </w:r>
      <w:proofErr w:type="gramStart"/>
      <w:r w:rsidRPr="00F429B2">
        <w:rPr>
          <w:rFonts w:ascii="仿宋_GB2312" w:eastAsia="仿宋_GB2312" w:hint="eastAsia"/>
          <w:sz w:val="28"/>
          <w:szCs w:val="28"/>
        </w:rPr>
        <w:t>产商融循环</w:t>
      </w:r>
      <w:proofErr w:type="gramEnd"/>
      <w:r w:rsidRPr="00F429B2">
        <w:rPr>
          <w:rFonts w:ascii="仿宋_GB2312" w:eastAsia="仿宋_GB2312" w:hint="eastAsia"/>
          <w:sz w:val="28"/>
          <w:szCs w:val="28"/>
        </w:rPr>
        <w:t>，推动商贸类国企实现自身能力再造和转型发展，更好发挥上海国资国企服务上海“五个中心”建设的使命和功能，开展关于国有大宗商品贸易集团培育模式研究。</w:t>
      </w:r>
    </w:p>
    <w:p w14:paraId="74AF17E8"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研究方向和重点</w:t>
      </w:r>
      <w:r w:rsidRPr="00F429B2">
        <w:rPr>
          <w:rFonts w:ascii="仿宋_GB2312" w:eastAsia="仿宋_GB2312" w:hint="eastAsia"/>
          <w:sz w:val="28"/>
          <w:szCs w:val="28"/>
        </w:rPr>
        <w:t>：一是梳理大宗商品贸易的发展趋势以及国际、国内企业发展情况。二是深入分析培育国有大宗商品贸易集团的必要性、基础优势、存在的问题和挑战。三是研究提出培育国有大宗商品贸易集团的总体思路和实施路径。四是研究提出支撑企业发展的外部</w:t>
      </w:r>
      <w:r w:rsidRPr="00F429B2">
        <w:rPr>
          <w:rFonts w:ascii="仿宋_GB2312" w:eastAsia="仿宋_GB2312" w:hint="eastAsia"/>
          <w:sz w:val="28"/>
          <w:szCs w:val="28"/>
        </w:rPr>
        <w:lastRenderedPageBreak/>
        <w:t>协同机制和支持政策。</w:t>
      </w:r>
    </w:p>
    <w:p w14:paraId="7C350DA6"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实施进度与要求</w:t>
      </w:r>
      <w:r w:rsidRPr="00F429B2">
        <w:rPr>
          <w:rFonts w:ascii="仿宋_GB2312" w:eastAsia="仿宋_GB2312" w:hint="eastAsia"/>
          <w:sz w:val="28"/>
          <w:szCs w:val="28"/>
        </w:rPr>
        <w:t>：2025年7月底，提交中期研究成果和至少一篇专题报告（3000字左右）；2025年10月底，完成研究任务，提交总报告。</w:t>
      </w:r>
    </w:p>
    <w:p w14:paraId="1A598893"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四、关于国有企业文体</w:t>
      </w:r>
      <w:proofErr w:type="gramStart"/>
      <w:r w:rsidRPr="00F429B2">
        <w:rPr>
          <w:rFonts w:ascii="仿宋_GB2312" w:eastAsia="仿宋_GB2312" w:hint="eastAsia"/>
          <w:b/>
          <w:bCs/>
          <w:sz w:val="28"/>
          <w:szCs w:val="28"/>
        </w:rPr>
        <w:t>旅展资源</w:t>
      </w:r>
      <w:proofErr w:type="gramEnd"/>
      <w:r w:rsidRPr="00F429B2">
        <w:rPr>
          <w:rFonts w:ascii="仿宋_GB2312" w:eastAsia="仿宋_GB2312" w:hint="eastAsia"/>
          <w:b/>
          <w:bCs/>
          <w:sz w:val="28"/>
          <w:szCs w:val="28"/>
        </w:rPr>
        <w:t>协同发展路径研究</w:t>
      </w:r>
    </w:p>
    <w:p w14:paraId="77D93F33"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研究背景与目的</w:t>
      </w:r>
      <w:r w:rsidRPr="00F429B2">
        <w:rPr>
          <w:rFonts w:ascii="仿宋_GB2312" w:eastAsia="仿宋_GB2312" w:hint="eastAsia"/>
          <w:sz w:val="28"/>
          <w:szCs w:val="28"/>
        </w:rPr>
        <w:t>：旅游关乎国计民生、带动千行百业。上海旅游具有都市型、综合性、国际化的鲜明特色，拥有文化高地优势、对外开放优势、现代化建设优势、城市治理优势、都市体验优势。在加快建成世界著名旅游城市中发挥上海国资国企主力军作用具有重要现实意义，本课题围绕习近平总书记关于旅游发展的重要论述，贯彻落实全国旅游发展大会精神和上海市旅游发展大会精神，开展关于国有企业文体</w:t>
      </w:r>
      <w:proofErr w:type="gramStart"/>
      <w:r w:rsidRPr="00F429B2">
        <w:rPr>
          <w:rFonts w:ascii="仿宋_GB2312" w:eastAsia="仿宋_GB2312" w:hint="eastAsia"/>
          <w:sz w:val="28"/>
          <w:szCs w:val="28"/>
        </w:rPr>
        <w:t>旅展资源</w:t>
      </w:r>
      <w:proofErr w:type="gramEnd"/>
      <w:r w:rsidRPr="00F429B2">
        <w:rPr>
          <w:rFonts w:ascii="仿宋_GB2312" w:eastAsia="仿宋_GB2312" w:hint="eastAsia"/>
          <w:sz w:val="28"/>
          <w:szCs w:val="28"/>
        </w:rPr>
        <w:t>协同发展路径研究。</w:t>
      </w:r>
    </w:p>
    <w:p w14:paraId="645A7286"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研究方向和重点</w:t>
      </w:r>
      <w:r w:rsidRPr="00F429B2">
        <w:rPr>
          <w:rFonts w:ascii="仿宋_GB2312" w:eastAsia="仿宋_GB2312" w:hint="eastAsia"/>
          <w:sz w:val="28"/>
          <w:szCs w:val="28"/>
        </w:rPr>
        <w:t>：一是深入分析国内外文体</w:t>
      </w:r>
      <w:proofErr w:type="gramStart"/>
      <w:r w:rsidRPr="00F429B2">
        <w:rPr>
          <w:rFonts w:ascii="仿宋_GB2312" w:eastAsia="仿宋_GB2312" w:hint="eastAsia"/>
          <w:sz w:val="28"/>
          <w:szCs w:val="28"/>
        </w:rPr>
        <w:t>旅展产业</w:t>
      </w:r>
      <w:proofErr w:type="gramEnd"/>
      <w:r w:rsidRPr="00F429B2">
        <w:rPr>
          <w:rFonts w:ascii="仿宋_GB2312" w:eastAsia="仿宋_GB2312" w:hint="eastAsia"/>
          <w:sz w:val="28"/>
          <w:szCs w:val="28"/>
        </w:rPr>
        <w:t>头部企业商业模式和盈利路径。二是深入剖析上海国资国企文体</w:t>
      </w:r>
      <w:proofErr w:type="gramStart"/>
      <w:r w:rsidRPr="00F429B2">
        <w:rPr>
          <w:rFonts w:ascii="仿宋_GB2312" w:eastAsia="仿宋_GB2312" w:hint="eastAsia"/>
          <w:sz w:val="28"/>
          <w:szCs w:val="28"/>
        </w:rPr>
        <w:t>旅展产业</w:t>
      </w:r>
      <w:proofErr w:type="gramEnd"/>
      <w:r w:rsidRPr="00F429B2">
        <w:rPr>
          <w:rFonts w:ascii="仿宋_GB2312" w:eastAsia="仿宋_GB2312" w:hint="eastAsia"/>
          <w:sz w:val="28"/>
          <w:szCs w:val="28"/>
        </w:rPr>
        <w:t>发展的现状、存在的问题。三是研究提出对应的支持政策建议、推动上海国</w:t>
      </w:r>
      <w:proofErr w:type="gramStart"/>
      <w:r w:rsidRPr="00F429B2">
        <w:rPr>
          <w:rFonts w:ascii="仿宋_GB2312" w:eastAsia="仿宋_GB2312" w:hint="eastAsia"/>
          <w:sz w:val="28"/>
          <w:szCs w:val="28"/>
        </w:rPr>
        <w:t>资系统</w:t>
      </w:r>
      <w:proofErr w:type="gramEnd"/>
      <w:r w:rsidRPr="00F429B2">
        <w:rPr>
          <w:rFonts w:ascii="仿宋_GB2312" w:eastAsia="仿宋_GB2312" w:hint="eastAsia"/>
          <w:sz w:val="28"/>
          <w:szCs w:val="28"/>
        </w:rPr>
        <w:t>内部文体</w:t>
      </w:r>
      <w:proofErr w:type="gramStart"/>
      <w:r w:rsidRPr="00F429B2">
        <w:rPr>
          <w:rFonts w:ascii="仿宋_GB2312" w:eastAsia="仿宋_GB2312" w:hint="eastAsia"/>
          <w:sz w:val="28"/>
          <w:szCs w:val="28"/>
        </w:rPr>
        <w:t>旅展资源</w:t>
      </w:r>
      <w:proofErr w:type="gramEnd"/>
      <w:r w:rsidRPr="00F429B2">
        <w:rPr>
          <w:rFonts w:ascii="仿宋_GB2312" w:eastAsia="仿宋_GB2312" w:hint="eastAsia"/>
          <w:sz w:val="28"/>
          <w:szCs w:val="28"/>
        </w:rPr>
        <w:t>协同联动以及与</w:t>
      </w:r>
      <w:proofErr w:type="gramStart"/>
      <w:r w:rsidRPr="00F429B2">
        <w:rPr>
          <w:rFonts w:ascii="仿宋_GB2312" w:eastAsia="仿宋_GB2312" w:hint="eastAsia"/>
          <w:sz w:val="28"/>
          <w:szCs w:val="28"/>
        </w:rPr>
        <w:t>外部各</w:t>
      </w:r>
      <w:proofErr w:type="gramEnd"/>
      <w:r w:rsidRPr="00F429B2">
        <w:rPr>
          <w:rFonts w:ascii="仿宋_GB2312" w:eastAsia="仿宋_GB2312" w:hint="eastAsia"/>
          <w:sz w:val="28"/>
          <w:szCs w:val="28"/>
        </w:rPr>
        <w:t>类市场主体协同联动的总体思路和实施路径。四是开展组建</w:t>
      </w:r>
      <w:proofErr w:type="gramStart"/>
      <w:r w:rsidRPr="00F429B2">
        <w:rPr>
          <w:rFonts w:ascii="仿宋_GB2312" w:eastAsia="仿宋_GB2312" w:hint="eastAsia"/>
          <w:sz w:val="28"/>
          <w:szCs w:val="28"/>
        </w:rPr>
        <w:t>市属文旅</w:t>
      </w:r>
      <w:proofErr w:type="gramEnd"/>
      <w:r w:rsidRPr="00F429B2">
        <w:rPr>
          <w:rFonts w:ascii="仿宋_GB2312" w:eastAsia="仿宋_GB2312" w:hint="eastAsia"/>
          <w:sz w:val="28"/>
          <w:szCs w:val="28"/>
        </w:rPr>
        <w:t>集团的可行性分析及举措研究。</w:t>
      </w:r>
    </w:p>
    <w:p w14:paraId="7CE86734"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实施进度与要求</w:t>
      </w:r>
      <w:r w:rsidRPr="00F429B2">
        <w:rPr>
          <w:rFonts w:ascii="仿宋_GB2312" w:eastAsia="仿宋_GB2312" w:hint="eastAsia"/>
          <w:sz w:val="28"/>
          <w:szCs w:val="28"/>
        </w:rPr>
        <w:t>：2025年7月底，提交中期研究成果和至少一篇专题报告（3000字左右）；2025年10月底，完成研究任务，提交总报告。</w:t>
      </w:r>
    </w:p>
    <w:p w14:paraId="7ACC1EA3"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五、关于提升国有企业国际化经营能力研究</w:t>
      </w:r>
    </w:p>
    <w:p w14:paraId="03C05106"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lastRenderedPageBreak/>
        <w:t> </w:t>
      </w:r>
      <w:r w:rsidRPr="00F429B2">
        <w:rPr>
          <w:rFonts w:ascii="仿宋_GB2312" w:eastAsia="仿宋_GB2312" w:hint="eastAsia"/>
          <w:sz w:val="28"/>
          <w:szCs w:val="28"/>
        </w:rPr>
        <w:t> </w:t>
      </w:r>
      <w:r w:rsidRPr="00F429B2">
        <w:rPr>
          <w:rFonts w:ascii="仿宋_GB2312" w:eastAsia="仿宋_GB2312" w:hint="eastAsia"/>
          <w:b/>
          <w:bCs/>
          <w:sz w:val="28"/>
          <w:szCs w:val="28"/>
        </w:rPr>
        <w:t>研究背景与目的</w:t>
      </w:r>
      <w:r w:rsidRPr="00F429B2">
        <w:rPr>
          <w:rFonts w:ascii="仿宋_GB2312" w:eastAsia="仿宋_GB2312" w:hint="eastAsia"/>
          <w:sz w:val="28"/>
          <w:szCs w:val="28"/>
        </w:rPr>
        <w:t>：国资国企是上海经济发展的主力军，必须加快提升国际化经营和风险防控能力，增强全球资源配置功能，加大国际科技合作力度，拓展全球产业</w:t>
      </w:r>
      <w:proofErr w:type="gramStart"/>
      <w:r w:rsidRPr="00F429B2">
        <w:rPr>
          <w:rFonts w:ascii="仿宋_GB2312" w:eastAsia="仿宋_GB2312" w:hint="eastAsia"/>
          <w:sz w:val="28"/>
          <w:szCs w:val="28"/>
        </w:rPr>
        <w:t>链供应链合作</w:t>
      </w:r>
      <w:proofErr w:type="gramEnd"/>
      <w:r w:rsidRPr="00F429B2">
        <w:rPr>
          <w:rFonts w:ascii="仿宋_GB2312" w:eastAsia="仿宋_GB2312" w:hint="eastAsia"/>
          <w:sz w:val="28"/>
          <w:szCs w:val="28"/>
        </w:rPr>
        <w:t>伙伴关系，更好助力上海打造国内国际双循环的战略链接。本课题结合本轮国企改革要求，为进一步推动上海市国有企业加强国际化经营能力建设，切实提高风险和合</w:t>
      </w:r>
      <w:proofErr w:type="gramStart"/>
      <w:r w:rsidRPr="00F429B2">
        <w:rPr>
          <w:rFonts w:ascii="仿宋_GB2312" w:eastAsia="仿宋_GB2312" w:hint="eastAsia"/>
          <w:sz w:val="28"/>
          <w:szCs w:val="28"/>
        </w:rPr>
        <w:t>规</w:t>
      </w:r>
      <w:proofErr w:type="gramEnd"/>
      <w:r w:rsidRPr="00F429B2">
        <w:rPr>
          <w:rFonts w:ascii="仿宋_GB2312" w:eastAsia="仿宋_GB2312" w:hint="eastAsia"/>
          <w:sz w:val="28"/>
          <w:szCs w:val="28"/>
        </w:rPr>
        <w:t>管理水平，实现“走出去”高质量发展，更好服务上海“五个中心”建设和高水平对外开放，开展关于提升国有企业国际化经营能力研究。</w:t>
      </w:r>
    </w:p>
    <w:p w14:paraId="03F105C3"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sz w:val="28"/>
          <w:szCs w:val="28"/>
        </w:rPr>
        <w:t> </w:t>
      </w:r>
      <w:r w:rsidRPr="00F429B2">
        <w:rPr>
          <w:rFonts w:ascii="仿宋_GB2312" w:eastAsia="仿宋_GB2312" w:hint="eastAsia"/>
          <w:b/>
          <w:bCs/>
          <w:sz w:val="28"/>
          <w:szCs w:val="28"/>
        </w:rPr>
        <w:t>研究方向和重点</w:t>
      </w:r>
      <w:r w:rsidRPr="00F429B2">
        <w:rPr>
          <w:rFonts w:ascii="仿宋_GB2312" w:eastAsia="仿宋_GB2312" w:hint="eastAsia"/>
          <w:sz w:val="28"/>
          <w:szCs w:val="28"/>
        </w:rPr>
        <w:t>：一是深入剖析当前面临的政治经济环境新形势，系统分析上海市国有企业国际化经营的特点、机遇和挑战。二是结合上海国资国企“十五五”发展规划，研究提出企业国际化经营总体布局和业务结构调整方向。三是研究优化对企业境外</w:t>
      </w:r>
      <w:proofErr w:type="gramStart"/>
      <w:r w:rsidRPr="00F429B2">
        <w:rPr>
          <w:rFonts w:ascii="仿宋_GB2312" w:eastAsia="仿宋_GB2312" w:hint="eastAsia"/>
          <w:sz w:val="28"/>
          <w:szCs w:val="28"/>
        </w:rPr>
        <w:t>投资全</w:t>
      </w:r>
      <w:proofErr w:type="gramEnd"/>
      <w:r w:rsidRPr="00F429B2">
        <w:rPr>
          <w:rFonts w:ascii="仿宋_GB2312" w:eastAsia="仿宋_GB2312" w:hint="eastAsia"/>
          <w:sz w:val="28"/>
          <w:szCs w:val="28"/>
        </w:rPr>
        <w:t>过程的指导服务和监管。四是研究提出整合各方资源，贯通政府、市场和国有企业，系统集成法律、财税、金融、安全、物流运输、人力资源等各类跨境专业服务，为企业高质量“走出去”提供有力支撑的对策建议。</w:t>
      </w:r>
    </w:p>
    <w:p w14:paraId="5076AE41" w14:textId="77777777" w:rsidR="008661AC" w:rsidRPr="00F429B2" w:rsidRDefault="008661AC" w:rsidP="00F429B2">
      <w:pPr>
        <w:spacing w:line="360" w:lineRule="auto"/>
        <w:rPr>
          <w:rFonts w:ascii="仿宋_GB2312" w:eastAsia="仿宋_GB2312" w:hint="eastAsia"/>
          <w:sz w:val="28"/>
          <w:szCs w:val="28"/>
        </w:rPr>
      </w:pPr>
      <w:r w:rsidRPr="00F429B2">
        <w:rPr>
          <w:rFonts w:ascii="仿宋_GB2312" w:eastAsia="仿宋_GB2312" w:hint="eastAsia"/>
          <w:sz w:val="28"/>
          <w:szCs w:val="28"/>
        </w:rPr>
        <w:t> </w:t>
      </w:r>
      <w:r w:rsidRPr="00F429B2">
        <w:rPr>
          <w:rFonts w:ascii="仿宋_GB2312" w:eastAsia="仿宋_GB2312" w:hint="eastAsia"/>
          <w:b/>
          <w:bCs/>
          <w:sz w:val="28"/>
          <w:szCs w:val="28"/>
        </w:rPr>
        <w:t> </w:t>
      </w:r>
      <w:r w:rsidRPr="00F429B2">
        <w:rPr>
          <w:rFonts w:ascii="仿宋_GB2312" w:eastAsia="仿宋_GB2312" w:hint="eastAsia"/>
          <w:b/>
          <w:bCs/>
          <w:sz w:val="28"/>
          <w:szCs w:val="28"/>
        </w:rPr>
        <w:t>实施进度与要求</w:t>
      </w:r>
      <w:r w:rsidRPr="00F429B2">
        <w:rPr>
          <w:rFonts w:ascii="仿宋_GB2312" w:eastAsia="仿宋_GB2312" w:hint="eastAsia"/>
          <w:sz w:val="28"/>
          <w:szCs w:val="28"/>
        </w:rPr>
        <w:t>：2025年7月底，提交中期研究成果和至少一篇专题报告（3000字左右）；2025年10月底，完成研究任务，提交总报告。</w:t>
      </w:r>
    </w:p>
    <w:p w14:paraId="41898BFC" w14:textId="77777777" w:rsidR="00AF7F19" w:rsidRPr="00F429B2" w:rsidRDefault="00AF7F19" w:rsidP="00F429B2">
      <w:pPr>
        <w:spacing w:line="360" w:lineRule="auto"/>
        <w:rPr>
          <w:rFonts w:ascii="仿宋_GB2312" w:eastAsia="仿宋_GB2312" w:hint="eastAsia"/>
          <w:sz w:val="28"/>
          <w:szCs w:val="28"/>
        </w:rPr>
      </w:pPr>
    </w:p>
    <w:sectPr w:rsidR="00AF7F19" w:rsidRPr="00F429B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3EEFB" w14:textId="77777777" w:rsidR="00AE57C1" w:rsidRDefault="00AE57C1" w:rsidP="00F429B2">
      <w:pPr>
        <w:rPr>
          <w:rFonts w:hint="eastAsia"/>
        </w:rPr>
      </w:pPr>
      <w:r>
        <w:separator/>
      </w:r>
    </w:p>
  </w:endnote>
  <w:endnote w:type="continuationSeparator" w:id="0">
    <w:p w14:paraId="43D6F878" w14:textId="77777777" w:rsidR="00AE57C1" w:rsidRDefault="00AE57C1" w:rsidP="00F429B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5066744"/>
      <w:docPartObj>
        <w:docPartGallery w:val="Page Numbers (Bottom of Page)"/>
        <w:docPartUnique/>
      </w:docPartObj>
    </w:sdtPr>
    <w:sdtContent>
      <w:p w14:paraId="7F60E861" w14:textId="2E462B15" w:rsidR="00F429B2" w:rsidRDefault="00F429B2">
        <w:pPr>
          <w:pStyle w:val="af0"/>
          <w:jc w:val="center"/>
          <w:rPr>
            <w:rFonts w:hint="eastAsia"/>
          </w:rPr>
        </w:pPr>
        <w:r>
          <w:fldChar w:fldCharType="begin"/>
        </w:r>
        <w:r>
          <w:instrText>PAGE   \* MERGEFORMAT</w:instrText>
        </w:r>
        <w:r>
          <w:fldChar w:fldCharType="separate"/>
        </w:r>
        <w:r>
          <w:rPr>
            <w:lang w:val="zh-CN"/>
          </w:rPr>
          <w:t>2</w:t>
        </w:r>
        <w:r>
          <w:fldChar w:fldCharType="end"/>
        </w:r>
      </w:p>
    </w:sdtContent>
  </w:sdt>
  <w:p w14:paraId="0C636AB6" w14:textId="77777777" w:rsidR="00F429B2" w:rsidRDefault="00F429B2">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49715" w14:textId="77777777" w:rsidR="00AE57C1" w:rsidRDefault="00AE57C1" w:rsidP="00F429B2">
      <w:pPr>
        <w:rPr>
          <w:rFonts w:hint="eastAsia"/>
        </w:rPr>
      </w:pPr>
      <w:r>
        <w:separator/>
      </w:r>
    </w:p>
  </w:footnote>
  <w:footnote w:type="continuationSeparator" w:id="0">
    <w:p w14:paraId="4628E143" w14:textId="77777777" w:rsidR="00AE57C1" w:rsidRDefault="00AE57C1" w:rsidP="00F429B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402"/>
    <w:rsid w:val="007146D9"/>
    <w:rsid w:val="008661AC"/>
    <w:rsid w:val="009C388B"/>
    <w:rsid w:val="009F3D35"/>
    <w:rsid w:val="00AE57C1"/>
    <w:rsid w:val="00AF7F19"/>
    <w:rsid w:val="00CB3402"/>
    <w:rsid w:val="00F42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7797AC"/>
  <w15:chartTrackingRefBased/>
  <w15:docId w15:val="{3B5F1ACC-3BCC-4CC0-8083-513975823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B340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B340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B340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B340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B340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CB340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B340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B340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B340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B340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B340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B340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B3402"/>
    <w:rPr>
      <w:rFonts w:cstheme="majorBidi"/>
      <w:color w:val="0F4761" w:themeColor="accent1" w:themeShade="BF"/>
      <w:sz w:val="28"/>
      <w:szCs w:val="28"/>
    </w:rPr>
  </w:style>
  <w:style w:type="character" w:customStyle="1" w:styleId="50">
    <w:name w:val="标题 5 字符"/>
    <w:basedOn w:val="a0"/>
    <w:link w:val="5"/>
    <w:uiPriority w:val="9"/>
    <w:semiHidden/>
    <w:rsid w:val="00CB3402"/>
    <w:rPr>
      <w:rFonts w:cstheme="majorBidi"/>
      <w:color w:val="0F4761" w:themeColor="accent1" w:themeShade="BF"/>
      <w:sz w:val="24"/>
      <w:szCs w:val="24"/>
    </w:rPr>
  </w:style>
  <w:style w:type="character" w:customStyle="1" w:styleId="60">
    <w:name w:val="标题 6 字符"/>
    <w:basedOn w:val="a0"/>
    <w:link w:val="6"/>
    <w:uiPriority w:val="9"/>
    <w:semiHidden/>
    <w:rsid w:val="00CB3402"/>
    <w:rPr>
      <w:rFonts w:cstheme="majorBidi"/>
      <w:b/>
      <w:bCs/>
      <w:color w:val="0F4761" w:themeColor="accent1" w:themeShade="BF"/>
    </w:rPr>
  </w:style>
  <w:style w:type="character" w:customStyle="1" w:styleId="70">
    <w:name w:val="标题 7 字符"/>
    <w:basedOn w:val="a0"/>
    <w:link w:val="7"/>
    <w:uiPriority w:val="9"/>
    <w:semiHidden/>
    <w:rsid w:val="00CB3402"/>
    <w:rPr>
      <w:rFonts w:cstheme="majorBidi"/>
      <w:b/>
      <w:bCs/>
      <w:color w:val="595959" w:themeColor="text1" w:themeTint="A6"/>
    </w:rPr>
  </w:style>
  <w:style w:type="character" w:customStyle="1" w:styleId="80">
    <w:name w:val="标题 8 字符"/>
    <w:basedOn w:val="a0"/>
    <w:link w:val="8"/>
    <w:uiPriority w:val="9"/>
    <w:semiHidden/>
    <w:rsid w:val="00CB3402"/>
    <w:rPr>
      <w:rFonts w:cstheme="majorBidi"/>
      <w:color w:val="595959" w:themeColor="text1" w:themeTint="A6"/>
    </w:rPr>
  </w:style>
  <w:style w:type="character" w:customStyle="1" w:styleId="90">
    <w:name w:val="标题 9 字符"/>
    <w:basedOn w:val="a0"/>
    <w:link w:val="9"/>
    <w:uiPriority w:val="9"/>
    <w:semiHidden/>
    <w:rsid w:val="00CB3402"/>
    <w:rPr>
      <w:rFonts w:eastAsiaTheme="majorEastAsia" w:cstheme="majorBidi"/>
      <w:color w:val="595959" w:themeColor="text1" w:themeTint="A6"/>
    </w:rPr>
  </w:style>
  <w:style w:type="paragraph" w:styleId="a3">
    <w:name w:val="Title"/>
    <w:basedOn w:val="a"/>
    <w:next w:val="a"/>
    <w:link w:val="a4"/>
    <w:uiPriority w:val="10"/>
    <w:qFormat/>
    <w:rsid w:val="00CB340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B340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B340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B340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B3402"/>
    <w:pPr>
      <w:spacing w:before="160" w:after="160"/>
      <w:jc w:val="center"/>
    </w:pPr>
    <w:rPr>
      <w:i/>
      <w:iCs/>
      <w:color w:val="404040" w:themeColor="text1" w:themeTint="BF"/>
    </w:rPr>
  </w:style>
  <w:style w:type="character" w:customStyle="1" w:styleId="a8">
    <w:name w:val="引用 字符"/>
    <w:basedOn w:val="a0"/>
    <w:link w:val="a7"/>
    <w:uiPriority w:val="29"/>
    <w:rsid w:val="00CB3402"/>
    <w:rPr>
      <w:i/>
      <w:iCs/>
      <w:color w:val="404040" w:themeColor="text1" w:themeTint="BF"/>
    </w:rPr>
  </w:style>
  <w:style w:type="paragraph" w:styleId="a9">
    <w:name w:val="List Paragraph"/>
    <w:basedOn w:val="a"/>
    <w:uiPriority w:val="34"/>
    <w:qFormat/>
    <w:rsid w:val="00CB3402"/>
    <w:pPr>
      <w:ind w:left="720"/>
      <w:contextualSpacing/>
    </w:pPr>
  </w:style>
  <w:style w:type="character" w:styleId="aa">
    <w:name w:val="Intense Emphasis"/>
    <w:basedOn w:val="a0"/>
    <w:uiPriority w:val="21"/>
    <w:qFormat/>
    <w:rsid w:val="00CB3402"/>
    <w:rPr>
      <w:i/>
      <w:iCs/>
      <w:color w:val="0F4761" w:themeColor="accent1" w:themeShade="BF"/>
    </w:rPr>
  </w:style>
  <w:style w:type="paragraph" w:styleId="ab">
    <w:name w:val="Intense Quote"/>
    <w:basedOn w:val="a"/>
    <w:next w:val="a"/>
    <w:link w:val="ac"/>
    <w:uiPriority w:val="30"/>
    <w:qFormat/>
    <w:rsid w:val="00CB34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B3402"/>
    <w:rPr>
      <w:i/>
      <w:iCs/>
      <w:color w:val="0F4761" w:themeColor="accent1" w:themeShade="BF"/>
    </w:rPr>
  </w:style>
  <w:style w:type="character" w:styleId="ad">
    <w:name w:val="Intense Reference"/>
    <w:basedOn w:val="a0"/>
    <w:uiPriority w:val="32"/>
    <w:qFormat/>
    <w:rsid w:val="00CB3402"/>
    <w:rPr>
      <w:b/>
      <w:bCs/>
      <w:smallCaps/>
      <w:color w:val="0F4761" w:themeColor="accent1" w:themeShade="BF"/>
      <w:spacing w:val="5"/>
    </w:rPr>
  </w:style>
  <w:style w:type="paragraph" w:styleId="ae">
    <w:name w:val="header"/>
    <w:basedOn w:val="a"/>
    <w:link w:val="af"/>
    <w:uiPriority w:val="99"/>
    <w:unhideWhenUsed/>
    <w:rsid w:val="00F429B2"/>
    <w:pPr>
      <w:tabs>
        <w:tab w:val="center" w:pos="4153"/>
        <w:tab w:val="right" w:pos="8306"/>
      </w:tabs>
      <w:snapToGrid w:val="0"/>
      <w:jc w:val="center"/>
    </w:pPr>
    <w:rPr>
      <w:sz w:val="18"/>
      <w:szCs w:val="18"/>
    </w:rPr>
  </w:style>
  <w:style w:type="character" w:customStyle="1" w:styleId="af">
    <w:name w:val="页眉 字符"/>
    <w:basedOn w:val="a0"/>
    <w:link w:val="ae"/>
    <w:uiPriority w:val="99"/>
    <w:rsid w:val="00F429B2"/>
    <w:rPr>
      <w:sz w:val="18"/>
      <w:szCs w:val="18"/>
    </w:rPr>
  </w:style>
  <w:style w:type="paragraph" w:styleId="af0">
    <w:name w:val="footer"/>
    <w:basedOn w:val="a"/>
    <w:link w:val="af1"/>
    <w:uiPriority w:val="99"/>
    <w:unhideWhenUsed/>
    <w:rsid w:val="00F429B2"/>
    <w:pPr>
      <w:tabs>
        <w:tab w:val="center" w:pos="4153"/>
        <w:tab w:val="right" w:pos="8306"/>
      </w:tabs>
      <w:snapToGrid w:val="0"/>
      <w:jc w:val="left"/>
    </w:pPr>
    <w:rPr>
      <w:sz w:val="18"/>
      <w:szCs w:val="18"/>
    </w:rPr>
  </w:style>
  <w:style w:type="character" w:customStyle="1" w:styleId="af1">
    <w:name w:val="页脚 字符"/>
    <w:basedOn w:val="a0"/>
    <w:link w:val="af0"/>
    <w:uiPriority w:val="99"/>
    <w:rsid w:val="00F429B2"/>
    <w:rPr>
      <w:sz w:val="18"/>
      <w:szCs w:val="18"/>
    </w:rPr>
  </w:style>
  <w:style w:type="character" w:styleId="af2">
    <w:name w:val="Hyperlink"/>
    <w:basedOn w:val="a0"/>
    <w:uiPriority w:val="99"/>
    <w:unhideWhenUsed/>
    <w:rsid w:val="00F429B2"/>
    <w:rPr>
      <w:color w:val="467886" w:themeColor="hyperlink"/>
      <w:u w:val="single"/>
    </w:rPr>
  </w:style>
  <w:style w:type="character" w:styleId="af3">
    <w:name w:val="Unresolved Mention"/>
    <w:basedOn w:val="a0"/>
    <w:uiPriority w:val="99"/>
    <w:semiHidden/>
    <w:unhideWhenUsed/>
    <w:rsid w:val="00F429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080537">
      <w:bodyDiv w:val="1"/>
      <w:marLeft w:val="0"/>
      <w:marRight w:val="0"/>
      <w:marTop w:val="0"/>
      <w:marBottom w:val="0"/>
      <w:divBdr>
        <w:top w:val="none" w:sz="0" w:space="0" w:color="auto"/>
        <w:left w:val="none" w:sz="0" w:space="0" w:color="auto"/>
        <w:bottom w:val="none" w:sz="0" w:space="0" w:color="auto"/>
        <w:right w:val="none" w:sz="0" w:space="0" w:color="auto"/>
      </w:divBdr>
      <w:divsChild>
        <w:div w:id="2059012308">
          <w:marLeft w:val="0"/>
          <w:marRight w:val="0"/>
          <w:marTop w:val="150"/>
          <w:marBottom w:val="150"/>
          <w:divBdr>
            <w:top w:val="none" w:sz="0" w:space="0" w:color="auto"/>
            <w:left w:val="none" w:sz="0" w:space="0" w:color="auto"/>
            <w:bottom w:val="none" w:sz="0" w:space="0" w:color="auto"/>
            <w:right w:val="none" w:sz="0" w:space="0" w:color="auto"/>
          </w:divBdr>
        </w:div>
        <w:div w:id="530186931">
          <w:marLeft w:val="0"/>
          <w:marRight w:val="0"/>
          <w:marTop w:val="75"/>
          <w:marBottom w:val="75"/>
          <w:divBdr>
            <w:top w:val="none" w:sz="0" w:space="0" w:color="auto"/>
            <w:left w:val="none" w:sz="0" w:space="0" w:color="auto"/>
            <w:bottom w:val="none" w:sz="0" w:space="0" w:color="auto"/>
            <w:right w:val="none" w:sz="0" w:space="0" w:color="auto"/>
          </w:divBdr>
          <w:divsChild>
            <w:div w:id="1072385024">
              <w:marLeft w:val="105"/>
              <w:marRight w:val="105"/>
              <w:marTop w:val="0"/>
              <w:marBottom w:val="0"/>
              <w:divBdr>
                <w:top w:val="none" w:sz="0" w:space="0" w:color="auto"/>
                <w:left w:val="none" w:sz="0" w:space="0" w:color="auto"/>
                <w:bottom w:val="none" w:sz="0" w:space="0" w:color="auto"/>
                <w:right w:val="none" w:sz="0" w:space="0" w:color="auto"/>
              </w:divBdr>
            </w:div>
            <w:div w:id="1260262819">
              <w:marLeft w:val="105"/>
              <w:marRight w:val="105"/>
              <w:marTop w:val="0"/>
              <w:marBottom w:val="0"/>
              <w:divBdr>
                <w:top w:val="none" w:sz="0" w:space="0" w:color="auto"/>
                <w:left w:val="none" w:sz="0" w:space="0" w:color="auto"/>
                <w:bottom w:val="none" w:sz="0" w:space="0" w:color="auto"/>
                <w:right w:val="none" w:sz="0" w:space="0" w:color="auto"/>
              </w:divBdr>
            </w:div>
            <w:div w:id="495731564">
              <w:marLeft w:val="105"/>
              <w:marRight w:val="105"/>
              <w:marTop w:val="0"/>
              <w:marBottom w:val="0"/>
              <w:divBdr>
                <w:top w:val="none" w:sz="0" w:space="0" w:color="auto"/>
                <w:left w:val="none" w:sz="0" w:space="0" w:color="auto"/>
                <w:bottom w:val="none" w:sz="0" w:space="0" w:color="auto"/>
                <w:right w:val="none" w:sz="0" w:space="0" w:color="auto"/>
              </w:divBdr>
            </w:div>
          </w:divsChild>
        </w:div>
        <w:div w:id="360515949">
          <w:marLeft w:val="0"/>
          <w:marRight w:val="0"/>
          <w:marTop w:val="150"/>
          <w:marBottom w:val="150"/>
          <w:divBdr>
            <w:top w:val="none" w:sz="0" w:space="0" w:color="auto"/>
            <w:left w:val="none" w:sz="0" w:space="0" w:color="auto"/>
            <w:bottom w:val="none" w:sz="0" w:space="0" w:color="auto"/>
            <w:right w:val="none" w:sz="0" w:space="0" w:color="auto"/>
          </w:divBdr>
        </w:div>
      </w:divsChild>
    </w:div>
    <w:div w:id="1445886228">
      <w:bodyDiv w:val="1"/>
      <w:marLeft w:val="0"/>
      <w:marRight w:val="0"/>
      <w:marTop w:val="0"/>
      <w:marBottom w:val="0"/>
      <w:divBdr>
        <w:top w:val="none" w:sz="0" w:space="0" w:color="auto"/>
        <w:left w:val="none" w:sz="0" w:space="0" w:color="auto"/>
        <w:bottom w:val="none" w:sz="0" w:space="0" w:color="auto"/>
        <w:right w:val="none" w:sz="0" w:space="0" w:color="auto"/>
      </w:divBdr>
      <w:divsChild>
        <w:div w:id="1563640711">
          <w:marLeft w:val="0"/>
          <w:marRight w:val="0"/>
          <w:marTop w:val="150"/>
          <w:marBottom w:val="150"/>
          <w:divBdr>
            <w:top w:val="none" w:sz="0" w:space="0" w:color="auto"/>
            <w:left w:val="none" w:sz="0" w:space="0" w:color="auto"/>
            <w:bottom w:val="none" w:sz="0" w:space="0" w:color="auto"/>
            <w:right w:val="none" w:sz="0" w:space="0" w:color="auto"/>
          </w:divBdr>
        </w:div>
        <w:div w:id="1570266880">
          <w:marLeft w:val="0"/>
          <w:marRight w:val="0"/>
          <w:marTop w:val="75"/>
          <w:marBottom w:val="75"/>
          <w:divBdr>
            <w:top w:val="none" w:sz="0" w:space="0" w:color="auto"/>
            <w:left w:val="none" w:sz="0" w:space="0" w:color="auto"/>
            <w:bottom w:val="none" w:sz="0" w:space="0" w:color="auto"/>
            <w:right w:val="none" w:sz="0" w:space="0" w:color="auto"/>
          </w:divBdr>
          <w:divsChild>
            <w:div w:id="900947526">
              <w:marLeft w:val="105"/>
              <w:marRight w:val="105"/>
              <w:marTop w:val="0"/>
              <w:marBottom w:val="0"/>
              <w:divBdr>
                <w:top w:val="none" w:sz="0" w:space="0" w:color="auto"/>
                <w:left w:val="none" w:sz="0" w:space="0" w:color="auto"/>
                <w:bottom w:val="none" w:sz="0" w:space="0" w:color="auto"/>
                <w:right w:val="none" w:sz="0" w:space="0" w:color="auto"/>
              </w:divBdr>
            </w:div>
            <w:div w:id="885264656">
              <w:marLeft w:val="105"/>
              <w:marRight w:val="105"/>
              <w:marTop w:val="0"/>
              <w:marBottom w:val="0"/>
              <w:divBdr>
                <w:top w:val="none" w:sz="0" w:space="0" w:color="auto"/>
                <w:left w:val="none" w:sz="0" w:space="0" w:color="auto"/>
                <w:bottom w:val="none" w:sz="0" w:space="0" w:color="auto"/>
                <w:right w:val="none" w:sz="0" w:space="0" w:color="auto"/>
              </w:divBdr>
            </w:div>
            <w:div w:id="288317896">
              <w:marLeft w:val="105"/>
              <w:marRight w:val="105"/>
              <w:marTop w:val="0"/>
              <w:marBottom w:val="0"/>
              <w:divBdr>
                <w:top w:val="none" w:sz="0" w:space="0" w:color="auto"/>
                <w:left w:val="none" w:sz="0" w:space="0" w:color="auto"/>
                <w:bottom w:val="none" w:sz="0" w:space="0" w:color="auto"/>
                <w:right w:val="none" w:sz="0" w:space="0" w:color="auto"/>
              </w:divBdr>
            </w:div>
          </w:divsChild>
        </w:div>
        <w:div w:id="569735302">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aochen@gzw.sh.gov.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528</Words>
  <Characters>3010</Characters>
  <Application>Microsoft Office Word</Application>
  <DocSecurity>0</DocSecurity>
  <Lines>25</Lines>
  <Paragraphs>7</Paragraphs>
  <ScaleCrop>false</ScaleCrop>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c</dc:creator>
  <cp:keywords/>
  <dc:description/>
  <cp:lastModifiedBy>l c</cp:lastModifiedBy>
  <cp:revision>3</cp:revision>
  <dcterms:created xsi:type="dcterms:W3CDTF">2025-04-29T13:40:00Z</dcterms:created>
  <dcterms:modified xsi:type="dcterms:W3CDTF">2025-04-29T14:38:00Z</dcterms:modified>
</cp:coreProperties>
</file>