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2403C4">
      <w:pPr>
        <w:keepNext w:val="0"/>
        <w:keepLines w:val="0"/>
        <w:pageBreakBefore w:val="0"/>
        <w:widowControl/>
        <w:suppressLineNumbers w:val="0"/>
        <w:kinsoku/>
        <w:wordWrap/>
        <w:overflowPunct/>
        <w:topLinePunct w:val="0"/>
        <w:autoSpaceDE/>
        <w:autoSpaceDN/>
        <w:bidi w:val="0"/>
        <w:adjustRightInd/>
        <w:snapToGrid/>
        <w:spacing w:line="360" w:lineRule="auto"/>
        <w:ind w:firstLine="720" w:firstLineChars="200"/>
        <w:jc w:val="center"/>
        <w:textAlignment w:val="auto"/>
        <w:rPr>
          <w:rFonts w:hint="eastAsia" w:ascii="宋体" w:hAnsi="宋体" w:eastAsia="宋体" w:cs="宋体"/>
          <w:kern w:val="0"/>
          <w:sz w:val="24"/>
          <w:szCs w:val="24"/>
          <w:lang w:val="en-US" w:eastAsia="zh-CN" w:bidi="ar"/>
        </w:rPr>
      </w:pPr>
      <w:r>
        <w:rPr>
          <w:rFonts w:hint="eastAsia" w:ascii="方正小标宋简体" w:hAnsi="方正小标宋简体" w:eastAsia="方正小标宋简体" w:cs="方正小标宋简体"/>
          <w:kern w:val="0"/>
          <w:sz w:val="36"/>
          <w:szCs w:val="36"/>
          <w:lang w:bidi="ar"/>
        </w:rPr>
        <w:t>松江校区基本功能补缺工程新食堂消费POS机项目采购需求</w:t>
      </w:r>
    </w:p>
    <w:p w14:paraId="032C47AD">
      <w:pPr>
        <w:keepNext w:val="0"/>
        <w:keepLines w:val="0"/>
        <w:pageBreakBefore w:val="0"/>
        <w:widowControl/>
        <w:suppressLineNumbers w:val="0"/>
        <w:kinsoku/>
        <w:wordWrap/>
        <w:overflowPunct/>
        <w:topLinePunct w:val="0"/>
        <w:autoSpaceDE/>
        <w:autoSpaceDN/>
        <w:bidi w:val="0"/>
        <w:adjustRightInd/>
        <w:snapToGrid/>
        <w:spacing w:line="360" w:lineRule="auto"/>
        <w:ind w:firstLine="0" w:firstLineChars="0"/>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一、项目概述</w:t>
      </w:r>
    </w:p>
    <w:p w14:paraId="2FC57620">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本项目采购的刷掌支付消费机，主要用于校园食堂、超市等消费场景。设备需支持刷掌支付、扫码支付等多种支付方式，具备高安全性、高识别准确率和良好的用户体验。具体要求：</w:t>
      </w:r>
    </w:p>
    <w:p w14:paraId="442BDCE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1、刷掌支付消费机须对接学校虚拟校园卡平台，可识别虚拟校园码并完成实时支付</w:t>
      </w:r>
    </w:p>
    <w:p w14:paraId="2BC77E05">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2、刷掌支付消费机须支持离线支付功能，在断网或断电状态下，能够识别虚拟校园码并完成实时支付且后续可实现消费数据自动上传。</w:t>
      </w:r>
    </w:p>
    <w:p w14:paraId="7DB130E3">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3、刷掌支付消费机必须支持扫码、刷掌、刷卡、NFC非接触式等多种支付方式</w:t>
      </w:r>
    </w:p>
    <w:p w14:paraId="79AF3C6D">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default"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4、刷掌支付消费机可通过有线网络、蓝牙、WIFI、4G等通信方式实现数据传输</w:t>
      </w:r>
    </w:p>
    <w:p w14:paraId="52871DAF">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both"/>
        <w:textAlignment w:val="auto"/>
        <w:rPr>
          <w:rFonts w:hint="eastAsia"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5、刷掌支付消费机支持外接电源供电，具备稳定供电保障。</w:t>
      </w:r>
    </w:p>
    <w:p w14:paraId="53CF720B">
      <w:pPr>
        <w:keepNext w:val="0"/>
        <w:keepLines w:val="0"/>
        <w:pageBreakBefore w:val="0"/>
        <w:widowControl/>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二、送货时间与安装地点</w:t>
      </w:r>
    </w:p>
    <w:p w14:paraId="4869EC6A">
      <w:pPr>
        <w:keepNext w:val="0"/>
        <w:keepLines w:val="0"/>
        <w:pageBreakBefore w:val="0"/>
        <w:widowControl/>
        <w:suppressLineNumbers w:val="0"/>
        <w:kinsoku/>
        <w:wordWrap/>
        <w:overflowPunct/>
        <w:topLinePunct w:val="0"/>
        <w:autoSpaceDE/>
        <w:autoSpaceDN/>
        <w:bidi w:val="0"/>
        <w:adjustRightInd/>
        <w:snapToGrid/>
        <w:spacing w:line="360" w:lineRule="auto"/>
        <w:ind w:firstLine="480" w:firstLineChars="200"/>
        <w:jc w:val="left"/>
        <w:textAlignment w:val="auto"/>
        <w:rPr>
          <w:rFonts w:hint="eastAsia"/>
          <w:lang w:eastAsia="zh-CN"/>
        </w:rPr>
      </w:pPr>
      <w:r>
        <w:rPr>
          <w:rFonts w:hint="eastAsia" w:ascii="宋体" w:hAnsi="宋体" w:eastAsia="宋体" w:cs="宋体"/>
          <w:kern w:val="0"/>
          <w:sz w:val="24"/>
          <w:szCs w:val="24"/>
          <w:lang w:val="en-US" w:eastAsia="zh-CN" w:bidi="ar"/>
        </w:rPr>
        <w:t>2026年8月1日前，送货至上海市松江区文翔路1900号上海对外经贸大学新食堂</w:t>
      </w:r>
      <w:r>
        <w:rPr>
          <w:rFonts w:hint="eastAsia"/>
          <w:lang w:eastAsia="zh-CN"/>
        </w:rPr>
        <w:t>。</w:t>
      </w:r>
    </w:p>
    <w:p w14:paraId="3C6060D4">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lang w:val="en-US" w:eastAsia="zh-CN"/>
        </w:rPr>
      </w:pPr>
      <w:r>
        <w:rPr>
          <w:rFonts w:hint="eastAsia"/>
          <w:lang w:val="en-US" w:eastAsia="zh-CN"/>
        </w:rPr>
        <w:t>中标人负责送货、卸货、搬运至指定点位，并承担全部费用与安全责任。</w:t>
      </w:r>
    </w:p>
    <w:p w14:paraId="4D868208">
      <w:pPr>
        <w:keepNext w:val="0"/>
        <w:keepLines w:val="0"/>
        <w:pageBreakBefore w:val="0"/>
        <w:widowControl/>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lang w:val="en-US" w:eastAsia="zh-CN"/>
        </w:rPr>
      </w:pPr>
      <w:r>
        <w:rPr>
          <w:rFonts w:hint="eastAsia"/>
          <w:lang w:val="en-US" w:eastAsia="zh-CN"/>
        </w:rPr>
        <w:t>中标人须确保提供的设备外观无破损，配件齐全。现场开机自检，确认设备正常启动，系统运行正常。</w:t>
      </w:r>
    </w:p>
    <w:p w14:paraId="0199D870">
      <w:pPr>
        <w:keepNext w:val="0"/>
        <w:keepLines w:val="0"/>
        <w:pageBreakBefore w:val="0"/>
        <w:widowControl/>
        <w:numPr>
          <w:ilvl w:val="0"/>
          <w:numId w:val="1"/>
        </w:numPr>
        <w:suppressLineNumbers w:val="0"/>
        <w:kinsoku/>
        <w:wordWrap/>
        <w:overflowPunct/>
        <w:topLinePunct w:val="0"/>
        <w:autoSpaceDE/>
        <w:autoSpaceDN/>
        <w:bidi w:val="0"/>
        <w:adjustRightInd/>
        <w:snapToGrid/>
        <w:spacing w:line="360" w:lineRule="auto"/>
        <w:jc w:val="left"/>
        <w:textAlignment w:val="auto"/>
        <w:rPr>
          <w:rFonts w:hint="eastAsia" w:ascii="宋体" w:hAnsi="宋体" w:eastAsia="宋体" w:cs="宋体"/>
          <w:b/>
          <w:bCs/>
          <w:kern w:val="0"/>
          <w:sz w:val="24"/>
          <w:szCs w:val="24"/>
          <w:lang w:val="en-US" w:eastAsia="zh-CN" w:bidi="ar"/>
        </w:rPr>
      </w:pPr>
      <w:r>
        <w:rPr>
          <w:rFonts w:hint="eastAsia" w:ascii="宋体" w:hAnsi="宋体" w:eastAsia="宋体" w:cs="宋体"/>
          <w:b/>
          <w:bCs/>
          <w:kern w:val="0"/>
          <w:sz w:val="24"/>
          <w:szCs w:val="24"/>
          <w:lang w:val="en-US" w:eastAsia="zh-CN" w:bidi="ar"/>
        </w:rPr>
        <w:t>安装调试</w:t>
      </w:r>
    </w:p>
    <w:p w14:paraId="30FABDE8">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eastAsia"/>
          <w:lang w:eastAsia="zh-CN"/>
        </w:rPr>
      </w:pPr>
      <w:r>
        <w:rPr>
          <w:rFonts w:hint="eastAsia"/>
          <w:lang w:val="en-US" w:eastAsia="zh-CN"/>
        </w:rPr>
        <w:t>中标单位须在接到甲方进场通知后3个工作日内，安排专业技术人员与甲方对接，完成现场设备安装，并确保使用正常。</w:t>
      </w:r>
    </w:p>
    <w:p w14:paraId="210E9670">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lang w:val="en-US" w:eastAsia="zh-CN"/>
        </w:rPr>
      </w:pPr>
      <w:r>
        <w:rPr>
          <w:rFonts w:hint="eastAsia"/>
          <w:lang w:val="en-US" w:eastAsia="zh-CN"/>
        </w:rPr>
        <w:t>设备安装到位后，中标单位须在2个工作日内完成与学校虚拟校园卡平台后台管理系统对接调试，根据学校要求配置商户信息，支付参数及网络参数，确保支付、识别、数据上传正常。</w:t>
      </w:r>
    </w:p>
    <w:p w14:paraId="101080CE">
      <w:pPr>
        <w:keepNext w:val="0"/>
        <w:keepLines w:val="0"/>
        <w:pageBreakBefore w:val="0"/>
        <w:widowControl/>
        <w:numPr>
          <w:ilvl w:val="0"/>
          <w:numId w:val="2"/>
        </w:numPr>
        <w:suppressLineNumbers w:val="0"/>
        <w:kinsoku/>
        <w:wordWrap/>
        <w:overflowPunct/>
        <w:topLinePunct w:val="0"/>
        <w:autoSpaceDE/>
        <w:autoSpaceDN/>
        <w:bidi w:val="0"/>
        <w:adjustRightInd/>
        <w:snapToGrid/>
        <w:spacing w:line="360" w:lineRule="auto"/>
        <w:ind w:firstLine="420" w:firstLineChars="200"/>
        <w:jc w:val="left"/>
        <w:textAlignment w:val="auto"/>
        <w:rPr>
          <w:rFonts w:hint="default" w:ascii="宋体" w:hAnsi="宋体" w:eastAsia="宋体" w:cs="宋体"/>
          <w:kern w:val="0"/>
          <w:sz w:val="24"/>
          <w:szCs w:val="24"/>
          <w:lang w:val="en-US" w:eastAsia="zh-CN" w:bidi="ar"/>
        </w:rPr>
      </w:pPr>
      <w:r>
        <w:rPr>
          <w:rFonts w:hint="eastAsia"/>
          <w:lang w:val="en-US" w:eastAsia="zh-CN"/>
        </w:rPr>
        <w:t>调试内容包括：刷掌识别、扫码支付、离线消费、数据实时上传、语音播报、双屏显示、对账报表等功能，确保各项功能正常、数据传输准确、无卡顿、无漏单。</w:t>
      </w:r>
    </w:p>
    <w:p w14:paraId="0A0E2F58">
      <w:pPr>
        <w:widowControl/>
        <w:spacing w:line="360" w:lineRule="auto"/>
        <w:jc w:val="left"/>
        <w:rPr>
          <w:rFonts w:hint="eastAsia" w:ascii="宋体" w:hAnsi="宋体" w:eastAsia="宋体" w:cs="宋体"/>
          <w:b/>
          <w:bCs/>
          <w:kern w:val="0"/>
          <w:sz w:val="24"/>
          <w:lang w:val="en-US" w:eastAsia="zh-CN" w:bidi="ar"/>
        </w:rPr>
      </w:pPr>
      <w:r>
        <w:rPr>
          <w:rFonts w:hint="eastAsia" w:ascii="宋体" w:hAnsi="宋体" w:eastAsia="宋体" w:cs="宋体"/>
          <w:b/>
          <w:bCs/>
          <w:kern w:val="0"/>
          <w:sz w:val="24"/>
          <w:lang w:val="en-US" w:eastAsia="zh-CN" w:bidi="ar"/>
        </w:rPr>
        <w:t>四、技术参数要求</w:t>
      </w:r>
    </w:p>
    <w:tbl>
      <w:tblPr>
        <w:tblStyle w:val="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15" w:type="dxa"/>
          <w:left w:w="15" w:type="dxa"/>
          <w:bottom w:w="15" w:type="dxa"/>
          <w:right w:w="15" w:type="dxa"/>
        </w:tblCellMar>
      </w:tblPr>
      <w:tblGrid>
        <w:gridCol w:w="1848"/>
        <w:gridCol w:w="6778"/>
      </w:tblGrid>
      <w:tr w14:paraId="7CA9399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rPr>
          <w:tblHeader/>
        </w:trPr>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7044D3A1">
            <w:pPr>
              <w:keepNext w:val="0"/>
              <w:keepLines w:val="0"/>
              <w:widowControl/>
              <w:suppressLineNumbers w:val="0"/>
              <w:jc w:val="left"/>
              <w:rPr>
                <w:rFonts w:hint="default" w:eastAsiaTheme="minorEastAsia"/>
                <w:b/>
                <w:bCs/>
                <w:lang w:val="en-US" w:eastAsia="zh-CN"/>
              </w:rPr>
            </w:pPr>
            <w:r>
              <w:rPr>
                <w:rFonts w:hint="eastAsia"/>
                <w:b/>
                <w:bCs/>
                <w:lang w:val="en-US" w:eastAsia="zh-CN"/>
              </w:rPr>
              <w:t>产品项</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839196B">
            <w:pPr>
              <w:keepNext w:val="0"/>
              <w:keepLines w:val="0"/>
              <w:widowControl/>
              <w:suppressLineNumbers w:val="0"/>
              <w:jc w:val="left"/>
              <w:rPr>
                <w:rFonts w:hint="default" w:eastAsiaTheme="minorEastAsia"/>
                <w:b/>
                <w:bCs/>
                <w:lang w:val="en-US" w:eastAsia="zh-CN"/>
              </w:rPr>
            </w:pPr>
            <w:r>
              <w:rPr>
                <w:rFonts w:hint="eastAsia"/>
                <w:b/>
                <w:bCs/>
                <w:lang w:val="en-US" w:eastAsia="zh-CN"/>
              </w:rPr>
              <w:t>设备技术要求</w:t>
            </w:r>
          </w:p>
        </w:tc>
      </w:tr>
      <w:tr w14:paraId="33132B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3C3EB9CF">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产品形态</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5F3A3953">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桌面式消费机</w:t>
            </w:r>
          </w:p>
        </w:tc>
      </w:tr>
      <w:tr w14:paraId="6331274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69FB5066">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支付方式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5A05BEA">
            <w:pPr>
              <w:keepNext w:val="0"/>
              <w:keepLines w:val="0"/>
              <w:widowControl/>
              <w:suppressLineNumbers w:val="0"/>
              <w:jc w:val="left"/>
              <w:rPr>
                <w:rFonts w:ascii="宋体" w:hAnsi="宋体" w:eastAsia="宋体" w:cs="宋体"/>
                <w:kern w:val="0"/>
                <w:sz w:val="21"/>
                <w:szCs w:val="21"/>
                <w:lang w:val="en-US" w:eastAsia="zh-CN" w:bidi="ar"/>
              </w:rPr>
            </w:pPr>
            <w:r>
              <w:rPr>
                <w:rFonts w:ascii="宋体" w:hAnsi="宋体" w:eastAsia="宋体" w:cs="宋体"/>
                <w:kern w:val="0"/>
                <w:sz w:val="21"/>
                <w:szCs w:val="21"/>
                <w:lang w:val="en-US" w:eastAsia="zh-CN" w:bidi="ar"/>
              </w:rPr>
              <w:t>支持掌纹+掌静脉融合识别</w:t>
            </w:r>
          </w:p>
          <w:p w14:paraId="29DECD52">
            <w:pPr>
              <w:keepNext w:val="0"/>
              <w:keepLines w:val="0"/>
              <w:widowControl/>
              <w:suppressLineNumbers w:val="0"/>
              <w:jc w:val="left"/>
              <w:rPr>
                <w:rFonts w:ascii="宋体" w:hAnsi="宋体" w:eastAsia="宋体" w:cs="宋体"/>
                <w:kern w:val="0"/>
                <w:sz w:val="21"/>
                <w:szCs w:val="21"/>
                <w:lang w:val="en-US" w:eastAsia="zh-CN" w:bidi="ar"/>
              </w:rPr>
            </w:pPr>
            <w:r>
              <w:rPr>
                <w:rFonts w:hint="eastAsia" w:ascii="宋体" w:hAnsi="宋体" w:eastAsia="宋体" w:cs="宋体"/>
                <w:kern w:val="0"/>
                <w:sz w:val="21"/>
                <w:szCs w:val="21"/>
                <w:lang w:val="en-US" w:eastAsia="zh-CN" w:bidi="ar"/>
              </w:rPr>
              <w:t>支持</w:t>
            </w:r>
            <w:r>
              <w:rPr>
                <w:rFonts w:ascii="宋体" w:hAnsi="宋体" w:eastAsia="宋体" w:cs="宋体"/>
                <w:kern w:val="0"/>
                <w:sz w:val="21"/>
                <w:szCs w:val="21"/>
                <w:lang w:val="en-US" w:eastAsia="zh-CN" w:bidi="ar"/>
              </w:rPr>
              <w:t>二维码被扫支付</w:t>
            </w:r>
          </w:p>
          <w:p w14:paraId="6403806E">
            <w:pPr>
              <w:keepNext w:val="0"/>
              <w:keepLines w:val="0"/>
              <w:widowControl/>
              <w:suppressLineNumbers w:val="0"/>
              <w:jc w:val="left"/>
              <w:rPr>
                <w:rFonts w:hint="eastAsia" w:ascii="宋体" w:hAnsi="宋体" w:eastAsia="宋体" w:cs="宋体"/>
                <w:szCs w:val="21"/>
              </w:rPr>
            </w:pPr>
            <w:r>
              <w:rPr>
                <w:rFonts w:hint="eastAsia" w:ascii="宋体" w:hAnsi="宋体" w:eastAsia="宋体" w:cs="宋体"/>
                <w:kern w:val="0"/>
                <w:sz w:val="21"/>
                <w:szCs w:val="21"/>
                <w:lang w:val="en-US" w:eastAsia="zh-CN" w:bidi="ar"/>
              </w:rPr>
              <w:t>支持</w:t>
            </w:r>
            <w:r>
              <w:rPr>
                <w:rFonts w:ascii="宋体" w:hAnsi="宋体" w:eastAsia="宋体" w:cs="宋体"/>
                <w:kern w:val="0"/>
                <w:sz w:val="21"/>
                <w:szCs w:val="21"/>
                <w:lang w:val="en-US" w:eastAsia="zh-CN" w:bidi="ar"/>
              </w:rPr>
              <w:t>标准NFC卡（M1、CPU 卡）</w:t>
            </w:r>
          </w:p>
        </w:tc>
      </w:tr>
      <w:tr w14:paraId="54463B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848" w:type="dxa"/>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049BDCF7">
            <w:pPr>
              <w:spacing w:after="0" w:line="240" w:lineRule="auto"/>
              <w:rPr>
                <w:rFonts w:hint="eastAsia" w:ascii="宋体" w:hAnsi="宋体" w:eastAsia="宋体" w:cs="宋体"/>
                <w:szCs w:val="21"/>
              </w:rPr>
            </w:pPr>
            <w:r>
              <w:rPr>
                <w:rFonts w:hint="eastAsia" w:ascii="宋体" w:hAnsi="宋体" w:eastAsia="宋体" w:cs="宋体"/>
                <w:szCs w:val="21"/>
              </w:rPr>
              <w:t>识别速度</w:t>
            </w:r>
          </w:p>
        </w:tc>
        <w:tc>
          <w:tcPr>
            <w:tcW w:w="6778" w:type="dxa"/>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3201064E">
            <w:pPr>
              <w:spacing w:after="0" w:line="240" w:lineRule="auto"/>
              <w:rPr>
                <w:rFonts w:hint="eastAsia" w:ascii="宋体" w:hAnsi="宋体" w:eastAsia="宋体" w:cs="宋体"/>
                <w:szCs w:val="21"/>
                <w:lang w:val="en-US"/>
              </w:rPr>
            </w:pPr>
            <w:r>
              <w:rPr>
                <w:rFonts w:hint="eastAsia" w:ascii="宋体" w:hAnsi="宋体" w:eastAsia="宋体" w:cs="宋体"/>
                <w:szCs w:val="21"/>
              </w:rPr>
              <w:t>刷掌识别时间≤1秒</w:t>
            </w:r>
          </w:p>
        </w:tc>
      </w:tr>
      <w:tr w14:paraId="7F8918E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848" w:type="dxa"/>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1011ED71">
            <w:pPr>
              <w:spacing w:after="0" w:line="240" w:lineRule="auto"/>
              <w:rPr>
                <w:rFonts w:hint="eastAsia" w:ascii="宋体" w:hAnsi="宋体" w:eastAsia="宋体" w:cs="宋体"/>
                <w:szCs w:val="21"/>
              </w:rPr>
            </w:pPr>
            <w:r>
              <w:rPr>
                <w:rFonts w:hint="eastAsia" w:ascii="宋体" w:hAnsi="宋体" w:eastAsia="宋体" w:cs="宋体"/>
                <w:szCs w:val="21"/>
              </w:rPr>
              <w:t>支付响应</w:t>
            </w:r>
          </w:p>
        </w:tc>
        <w:tc>
          <w:tcPr>
            <w:tcW w:w="6778" w:type="dxa"/>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193A87AF">
            <w:pPr>
              <w:spacing w:after="0" w:line="240" w:lineRule="auto"/>
              <w:rPr>
                <w:rFonts w:hint="eastAsia" w:ascii="宋体" w:hAnsi="宋体" w:eastAsia="宋体" w:cs="宋体"/>
                <w:szCs w:val="21"/>
                <w:lang w:val="en-US"/>
              </w:rPr>
            </w:pPr>
            <w:r>
              <w:rPr>
                <w:rFonts w:hint="eastAsia" w:ascii="宋体" w:hAnsi="宋体" w:eastAsia="宋体" w:cs="宋体"/>
                <w:szCs w:val="21"/>
              </w:rPr>
              <w:t>支付响应时间≤2秒</w:t>
            </w:r>
          </w:p>
        </w:tc>
      </w:tr>
      <w:tr w14:paraId="10735F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686B9291">
            <w:pPr>
              <w:spacing w:after="0" w:line="240" w:lineRule="auto"/>
              <w:rPr>
                <w:rFonts w:hint="eastAsia" w:ascii="宋体" w:hAnsi="宋体" w:eastAsia="宋体" w:cs="宋体"/>
                <w:szCs w:val="21"/>
              </w:rPr>
            </w:pPr>
            <w:r>
              <w:rPr>
                <w:rFonts w:hint="eastAsia" w:ascii="宋体" w:hAnsi="宋体" w:eastAsia="宋体" w:cs="宋体"/>
                <w:szCs w:val="21"/>
              </w:rPr>
              <w:t>支付模式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35307778">
            <w:pPr>
              <w:spacing w:after="0" w:line="240" w:lineRule="auto"/>
              <w:rPr>
                <w:rFonts w:hint="eastAsia" w:ascii="宋体" w:hAnsi="宋体" w:eastAsia="宋体" w:cs="宋体"/>
                <w:szCs w:val="21"/>
                <w:lang w:val="en-US"/>
              </w:rPr>
            </w:pPr>
            <w:r>
              <w:rPr>
                <w:rFonts w:hint="eastAsia" w:ascii="宋体" w:hAnsi="宋体" w:eastAsia="宋体" w:cs="宋体"/>
                <w:szCs w:val="21"/>
              </w:rPr>
              <w:t>支持刷掌、扫码、刷卡三种支付方式自由切换</w:t>
            </w:r>
          </w:p>
        </w:tc>
      </w:tr>
      <w:tr w14:paraId="4D6353A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79E317BC">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操作系统</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630B0265">
            <w:pPr>
              <w:keepNext w:val="0"/>
              <w:keepLines w:val="0"/>
              <w:widowControl/>
              <w:suppressLineNumbers w:val="0"/>
              <w:jc w:val="left"/>
              <w:rPr>
                <w:rFonts w:hint="eastAsia" w:ascii="宋体" w:hAnsi="宋体" w:eastAsia="宋体" w:cs="宋体"/>
                <w:szCs w:val="21"/>
                <w:lang w:val="en-US"/>
              </w:rPr>
            </w:pPr>
            <w:r>
              <w:rPr>
                <w:rFonts w:ascii="宋体" w:hAnsi="宋体" w:eastAsia="宋体" w:cs="宋体"/>
                <w:kern w:val="0"/>
                <w:sz w:val="21"/>
                <w:szCs w:val="21"/>
                <w:lang w:val="en-US" w:eastAsia="zh-CN" w:bidi="ar"/>
              </w:rPr>
              <w:t>Android 10.0</w:t>
            </w:r>
            <w:r>
              <w:rPr>
                <w:rFonts w:hint="eastAsia" w:ascii="宋体" w:hAnsi="宋体" w:eastAsia="宋体" w:cs="宋体"/>
                <w:kern w:val="0"/>
                <w:sz w:val="21"/>
                <w:szCs w:val="21"/>
                <w:lang w:val="en-US" w:eastAsia="zh-CN" w:bidi="ar"/>
              </w:rPr>
              <w:t>及以上</w:t>
            </w:r>
          </w:p>
        </w:tc>
      </w:tr>
      <w:tr w14:paraId="43E82CC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69F7F01A">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CPU</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1A13F114">
            <w:pPr>
              <w:keepNext w:val="0"/>
              <w:keepLines w:val="0"/>
              <w:widowControl/>
              <w:suppressLineNumbers w:val="0"/>
              <w:jc w:val="left"/>
              <w:rPr>
                <w:rFonts w:hint="eastAsia" w:ascii="宋体" w:hAnsi="宋体" w:eastAsia="宋体" w:cs="宋体"/>
                <w:szCs w:val="21"/>
                <w:lang w:val="en-US"/>
              </w:rPr>
            </w:pPr>
            <w:r>
              <w:rPr>
                <w:rFonts w:ascii="宋体" w:hAnsi="宋体" w:eastAsia="宋体" w:cs="宋体"/>
                <w:kern w:val="0"/>
                <w:sz w:val="21"/>
                <w:szCs w:val="21"/>
                <w:lang w:val="en-US" w:eastAsia="zh-CN" w:bidi="ar"/>
              </w:rPr>
              <w:t>四核ARM® Cortex-A35处理器或同等性能</w:t>
            </w:r>
          </w:p>
        </w:tc>
      </w:tr>
      <w:tr w14:paraId="04FDB7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1F368C57">
            <w:pPr>
              <w:spacing w:after="0" w:line="240" w:lineRule="auto"/>
              <w:rPr>
                <w:rFonts w:hint="eastAsia" w:ascii="宋体" w:hAnsi="宋体" w:eastAsia="宋体" w:cs="宋体"/>
                <w:szCs w:val="21"/>
              </w:rPr>
            </w:pPr>
            <w:r>
              <w:rPr>
                <w:rFonts w:hint="eastAsia" w:ascii="宋体" w:hAnsi="宋体" w:eastAsia="宋体" w:cs="宋体"/>
                <w:szCs w:val="21"/>
              </w:rPr>
              <w:t>内存</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2F57E50F">
            <w:pPr>
              <w:spacing w:after="0" w:line="240" w:lineRule="auto"/>
              <w:rPr>
                <w:rFonts w:hint="eastAsia" w:ascii="宋体" w:hAnsi="宋体" w:eastAsia="宋体" w:cs="宋体"/>
                <w:szCs w:val="21"/>
                <w:lang w:val="en-US"/>
              </w:rPr>
            </w:pPr>
            <w:r>
              <w:rPr>
                <w:rFonts w:hint="eastAsia" w:ascii="宋体" w:hAnsi="宋体" w:eastAsia="宋体" w:cs="宋体"/>
                <w:szCs w:val="21"/>
              </w:rPr>
              <w:t>≥1GB RAM</w:t>
            </w:r>
          </w:p>
        </w:tc>
      </w:tr>
      <w:tr w14:paraId="79C0575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43173D29">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存储</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6CCCC426">
            <w:pPr>
              <w:spacing w:after="0" w:line="240" w:lineRule="auto"/>
              <w:rPr>
                <w:rFonts w:hint="eastAsia" w:ascii="宋体" w:hAnsi="宋体" w:eastAsia="宋体" w:cs="宋体"/>
                <w:kern w:val="2"/>
                <w:sz w:val="21"/>
                <w:szCs w:val="21"/>
                <w:lang w:val="en-US" w:eastAsia="zh-CN" w:bidi="ar-SA"/>
              </w:rPr>
            </w:pPr>
            <w:r>
              <w:rPr>
                <w:rFonts w:hint="eastAsia" w:ascii="宋体" w:hAnsi="宋体" w:eastAsia="宋体" w:cs="宋体"/>
                <w:szCs w:val="21"/>
              </w:rPr>
              <w:t>≥8GB ROM</w:t>
            </w:r>
          </w:p>
        </w:tc>
      </w:tr>
      <w:tr w14:paraId="5F644A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3543AB0F">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通讯方式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37D66F52">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以太网 + WIFI + 蓝牙 4.2 + 4G 全网通</w:t>
            </w:r>
          </w:p>
        </w:tc>
      </w:tr>
      <w:tr w14:paraId="74E186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7109826C">
            <w:pPr>
              <w:spacing w:after="0" w:line="240" w:lineRule="auto"/>
              <w:rPr>
                <w:rFonts w:hint="eastAsia" w:ascii="宋体" w:hAnsi="宋体" w:eastAsia="宋体" w:cs="宋体"/>
                <w:szCs w:val="21"/>
              </w:rPr>
            </w:pPr>
            <w:r>
              <w:rPr>
                <w:rFonts w:hint="eastAsia" w:ascii="宋体" w:hAnsi="宋体" w:eastAsia="宋体" w:cs="宋体"/>
                <w:szCs w:val="21"/>
              </w:rPr>
              <w:t>数据同步</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0521B47E">
            <w:pPr>
              <w:spacing w:after="0" w:line="240" w:lineRule="auto"/>
              <w:rPr>
                <w:rFonts w:hint="eastAsia" w:ascii="宋体" w:hAnsi="宋体" w:eastAsia="宋体" w:cs="宋体"/>
                <w:szCs w:val="21"/>
                <w:lang w:val="en-US"/>
              </w:rPr>
            </w:pPr>
            <w:r>
              <w:rPr>
                <w:rFonts w:hint="eastAsia" w:ascii="宋体" w:hAnsi="宋体" w:eastAsia="宋体" w:cs="宋体"/>
                <w:szCs w:val="21"/>
              </w:rPr>
              <w:t>支持实时数据上传、离线数据缓存</w:t>
            </w:r>
          </w:p>
        </w:tc>
      </w:tr>
      <w:tr w14:paraId="113DB00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0EDDF671">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识别算法</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5D694B83">
            <w:pPr>
              <w:keepNext w:val="0"/>
              <w:keepLines w:val="0"/>
              <w:widowControl/>
              <w:suppressLineNumbers w:val="0"/>
              <w:jc w:val="left"/>
              <w:rPr>
                <w:rFonts w:hint="eastAsia" w:ascii="宋体" w:hAnsi="宋体" w:eastAsia="宋体" w:cs="宋体"/>
                <w:szCs w:val="21"/>
                <w:lang w:val="en-US"/>
              </w:rPr>
            </w:pPr>
            <w:r>
              <w:rPr>
                <w:rFonts w:hint="eastAsia" w:ascii="宋体" w:hAnsi="宋体" w:eastAsia="宋体" w:cs="宋体"/>
                <w:kern w:val="0"/>
                <w:sz w:val="21"/>
                <w:szCs w:val="21"/>
                <w:lang w:val="en-US" w:eastAsia="zh-CN" w:bidi="ar"/>
              </w:rPr>
              <w:t>支持</w:t>
            </w:r>
            <w:r>
              <w:rPr>
                <w:rFonts w:ascii="宋体" w:hAnsi="宋体" w:eastAsia="宋体" w:cs="宋体"/>
                <w:kern w:val="0"/>
                <w:sz w:val="21"/>
                <w:szCs w:val="21"/>
                <w:lang w:val="en-US" w:eastAsia="zh-CN" w:bidi="ar"/>
              </w:rPr>
              <w:t>腾讯</w:t>
            </w:r>
            <w:r>
              <w:rPr>
                <w:rFonts w:hint="eastAsia" w:ascii="宋体" w:hAnsi="宋体" w:eastAsia="宋体" w:cs="宋体"/>
                <w:kern w:val="0"/>
                <w:sz w:val="21"/>
                <w:szCs w:val="21"/>
                <w:lang w:val="en-US" w:eastAsia="zh-CN" w:bidi="ar"/>
              </w:rPr>
              <w:t>掌纹掌静脉算法</w:t>
            </w:r>
          </w:p>
        </w:tc>
      </w:tr>
      <w:tr w14:paraId="36127E1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6BE1261">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识别模式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304A9D3B">
            <w:pPr>
              <w:keepNext w:val="0"/>
              <w:keepLines w:val="0"/>
              <w:widowControl/>
              <w:suppressLineNumbers w:val="0"/>
              <w:jc w:val="left"/>
              <w:rPr>
                <w:rFonts w:hint="eastAsia" w:ascii="宋体" w:hAnsi="宋体" w:eastAsia="宋体" w:cs="宋体"/>
                <w:szCs w:val="21"/>
              </w:rPr>
            </w:pPr>
            <w:r>
              <w:rPr>
                <w:rFonts w:hint="eastAsia" w:ascii="宋体" w:hAnsi="宋体" w:eastAsia="宋体" w:cs="宋体"/>
                <w:kern w:val="0"/>
                <w:sz w:val="21"/>
                <w:szCs w:val="21"/>
                <w:lang w:val="en-US" w:eastAsia="zh-CN" w:bidi="ar"/>
              </w:rPr>
              <w:t>掌纹+掌静脉融合识别</w:t>
            </w:r>
          </w:p>
        </w:tc>
      </w:tr>
      <w:tr w14:paraId="2AF888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1FDF1C58">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NFC</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9EF66FF">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支持 NFC 非接卡，13.56MHz，支持 ISO14443A/B</w:t>
            </w:r>
          </w:p>
        </w:tc>
      </w:tr>
      <w:tr w14:paraId="34DFA6D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09AD37A8">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显示方式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51158742">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主屏彩色触摸屏+副屏</w:t>
            </w:r>
            <w:r>
              <w:rPr>
                <w:rFonts w:hint="eastAsia" w:ascii="宋体" w:hAnsi="宋体" w:eastAsia="宋体" w:cs="宋体"/>
                <w:kern w:val="0"/>
                <w:sz w:val="21"/>
                <w:szCs w:val="21"/>
                <w:lang w:val="en-US" w:eastAsia="zh-CN" w:bidi="ar"/>
              </w:rPr>
              <w:t>彩色显示屏</w:t>
            </w:r>
            <w:r>
              <w:rPr>
                <w:rFonts w:ascii="宋体" w:hAnsi="宋体" w:eastAsia="宋体" w:cs="宋体"/>
                <w:kern w:val="0"/>
                <w:sz w:val="21"/>
                <w:szCs w:val="21"/>
                <w:lang w:val="en-US" w:eastAsia="zh-CN" w:bidi="ar"/>
              </w:rPr>
              <w:t>，支持同显/异显</w:t>
            </w:r>
            <w:r>
              <w:rPr>
                <w:rFonts w:hint="eastAsia" w:ascii="宋体" w:hAnsi="宋体" w:eastAsia="宋体" w:cs="宋体"/>
                <w:kern w:val="0"/>
                <w:sz w:val="21"/>
                <w:szCs w:val="21"/>
                <w:lang w:val="en-US" w:eastAsia="zh-CN" w:bidi="ar"/>
              </w:rPr>
              <w:t>，支持显示消费信息、余额、产品信息及促销信息</w:t>
            </w:r>
          </w:p>
        </w:tc>
      </w:tr>
      <w:tr w14:paraId="179182F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4DEEB933">
            <w:pPr>
              <w:spacing w:after="0" w:line="240" w:lineRule="auto"/>
              <w:rPr>
                <w:rFonts w:hint="eastAsia" w:ascii="宋体" w:hAnsi="宋体" w:eastAsia="宋体" w:cs="宋体"/>
                <w:szCs w:val="21"/>
              </w:rPr>
            </w:pPr>
            <w:r>
              <w:rPr>
                <w:rFonts w:hint="eastAsia" w:ascii="宋体" w:hAnsi="宋体" w:eastAsia="宋体" w:cs="宋体"/>
                <w:szCs w:val="21"/>
              </w:rPr>
              <w:t>双屏显示</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7546A0A2">
            <w:pPr>
              <w:spacing w:after="0" w:line="240" w:lineRule="auto"/>
              <w:rPr>
                <w:rFonts w:hint="eastAsia" w:ascii="宋体" w:hAnsi="宋体" w:eastAsia="宋体" w:cs="宋体"/>
                <w:szCs w:val="21"/>
              </w:rPr>
            </w:pPr>
            <w:r>
              <w:rPr>
                <w:rFonts w:hint="eastAsia" w:ascii="宋体" w:hAnsi="宋体" w:eastAsia="宋体" w:cs="宋体"/>
                <w:szCs w:val="21"/>
              </w:rPr>
              <w:t>主屏和客屏同时显示消费信息，内外确认，避免出错</w:t>
            </w:r>
          </w:p>
        </w:tc>
      </w:tr>
      <w:tr w14:paraId="29709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73BB15C6">
            <w:pPr>
              <w:spacing w:after="0" w:line="240" w:lineRule="auto"/>
              <w:rPr>
                <w:rFonts w:hint="eastAsia" w:ascii="宋体" w:hAnsi="宋体" w:eastAsia="宋体" w:cs="宋体"/>
                <w:szCs w:val="21"/>
              </w:rPr>
            </w:pPr>
            <w:r>
              <w:rPr>
                <w:rFonts w:hint="eastAsia" w:ascii="宋体" w:hAnsi="宋体" w:eastAsia="宋体" w:cs="宋体"/>
                <w:szCs w:val="21"/>
              </w:rPr>
              <w:t>输入方式</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top"/>
          </w:tcPr>
          <w:p w14:paraId="54839260">
            <w:pPr>
              <w:spacing w:after="0" w:line="240" w:lineRule="auto"/>
              <w:rPr>
                <w:rFonts w:hint="eastAsia" w:ascii="宋体" w:hAnsi="宋体" w:eastAsia="宋体" w:cs="宋体"/>
                <w:szCs w:val="21"/>
              </w:rPr>
            </w:pPr>
            <w:r>
              <w:rPr>
                <w:rFonts w:hint="eastAsia" w:ascii="宋体" w:hAnsi="宋体" w:eastAsia="宋体" w:cs="宋体"/>
                <w:szCs w:val="21"/>
              </w:rPr>
              <w:t>机械键盘+触摸屏</w:t>
            </w:r>
          </w:p>
        </w:tc>
      </w:tr>
      <w:tr w14:paraId="66DDFCB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D116741">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语音提示</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68511D3C">
            <w:pPr>
              <w:keepNext w:val="0"/>
              <w:keepLines w:val="0"/>
              <w:widowControl/>
              <w:suppressLineNumbers w:val="0"/>
              <w:jc w:val="left"/>
              <w:rPr>
                <w:rFonts w:hint="eastAsia" w:ascii="宋体" w:hAnsi="宋体" w:eastAsia="宋体" w:cs="宋体"/>
                <w:szCs w:val="21"/>
              </w:rPr>
            </w:pPr>
            <w:r>
              <w:rPr>
                <w:rFonts w:ascii="宋体" w:hAnsi="宋体" w:eastAsia="宋体" w:cs="宋体"/>
                <w:kern w:val="0"/>
                <w:sz w:val="21"/>
                <w:szCs w:val="21"/>
                <w:lang w:val="en-US" w:eastAsia="zh-CN" w:bidi="ar"/>
              </w:rPr>
              <w:t>中文语音</w:t>
            </w:r>
            <w:r>
              <w:rPr>
                <w:rFonts w:hint="eastAsia" w:ascii="宋体" w:hAnsi="宋体" w:eastAsia="宋体" w:cs="宋体"/>
                <w:kern w:val="0"/>
                <w:sz w:val="21"/>
                <w:szCs w:val="21"/>
                <w:lang w:val="en-US" w:eastAsia="zh-CN" w:bidi="ar"/>
              </w:rPr>
              <w:t>播报，</w:t>
            </w:r>
            <w:r>
              <w:rPr>
                <w:rFonts w:ascii="宋体" w:hAnsi="宋体" w:eastAsia="宋体" w:cs="宋体"/>
                <w:kern w:val="0"/>
                <w:sz w:val="21"/>
                <w:szCs w:val="21"/>
                <w:lang w:val="en-US" w:eastAsia="zh-CN" w:bidi="ar"/>
              </w:rPr>
              <w:t>音量可调（0-90dB）</w:t>
            </w:r>
            <w:r>
              <w:rPr>
                <w:rFonts w:hint="eastAsia" w:ascii="宋体" w:hAnsi="宋体" w:eastAsia="宋体" w:cs="宋体"/>
                <w:kern w:val="0"/>
                <w:sz w:val="21"/>
                <w:szCs w:val="21"/>
                <w:lang w:val="en-US" w:eastAsia="zh-CN" w:bidi="ar"/>
              </w:rPr>
              <w:t>，支付成功/失败语音播报，真人高仿语音，声音洪亮</w:t>
            </w:r>
          </w:p>
        </w:tc>
      </w:tr>
      <w:tr w14:paraId="07103E9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480107A1">
            <w:pPr>
              <w:keepNext w:val="0"/>
              <w:keepLines w:val="0"/>
              <w:widowControl/>
              <w:suppressLineNumbers w:val="0"/>
              <w:jc w:val="left"/>
              <w:rPr>
                <w:szCs w:val="21"/>
              </w:rPr>
            </w:pPr>
            <w:r>
              <w:rPr>
                <w:rFonts w:ascii="宋体" w:hAnsi="宋体" w:eastAsia="宋体" w:cs="宋体"/>
                <w:kern w:val="0"/>
                <w:sz w:val="21"/>
                <w:szCs w:val="21"/>
                <w:lang w:val="en-US" w:eastAsia="zh-CN" w:bidi="ar"/>
              </w:rPr>
              <w:t>音量范围</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69CD606">
            <w:pPr>
              <w:keepNext w:val="0"/>
              <w:keepLines w:val="0"/>
              <w:widowControl/>
              <w:suppressLineNumbers w:val="0"/>
              <w:jc w:val="left"/>
              <w:rPr>
                <w:szCs w:val="21"/>
              </w:rPr>
            </w:pPr>
            <w:r>
              <w:rPr>
                <w:rFonts w:ascii="宋体" w:hAnsi="宋体" w:eastAsia="宋体" w:cs="宋体"/>
                <w:kern w:val="0"/>
                <w:sz w:val="21"/>
                <w:szCs w:val="21"/>
                <w:lang w:val="en-US" w:eastAsia="zh-CN" w:bidi="ar"/>
              </w:rPr>
              <w:t>0–90dB</w:t>
            </w:r>
          </w:p>
        </w:tc>
      </w:tr>
      <w:tr w14:paraId="39DFBB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33B6873A">
            <w:pPr>
              <w:keepNext w:val="0"/>
              <w:keepLines w:val="0"/>
              <w:widowControl/>
              <w:suppressLineNumbers w:val="0"/>
              <w:jc w:val="left"/>
              <w:rPr>
                <w:szCs w:val="21"/>
              </w:rPr>
            </w:pPr>
            <w:r>
              <w:rPr>
                <w:rFonts w:ascii="宋体" w:hAnsi="宋体" w:eastAsia="宋体" w:cs="宋体"/>
                <w:kern w:val="0"/>
                <w:sz w:val="21"/>
                <w:szCs w:val="21"/>
                <w:lang w:val="en-US" w:eastAsia="zh-CN" w:bidi="ar"/>
              </w:rPr>
              <w:t>输入电源</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DD34477">
            <w:pPr>
              <w:keepNext w:val="0"/>
              <w:keepLines w:val="0"/>
              <w:widowControl/>
              <w:suppressLineNumbers w:val="0"/>
              <w:jc w:val="left"/>
              <w:rPr>
                <w:szCs w:val="21"/>
              </w:rPr>
            </w:pPr>
            <w:r>
              <w:rPr>
                <w:rFonts w:ascii="宋体" w:hAnsi="宋体" w:eastAsia="宋体" w:cs="宋体"/>
                <w:kern w:val="0"/>
                <w:sz w:val="21"/>
                <w:szCs w:val="21"/>
                <w:lang w:val="en-US" w:eastAsia="zh-CN" w:bidi="ar"/>
              </w:rPr>
              <w:t>DC12V/2A</w:t>
            </w:r>
          </w:p>
        </w:tc>
      </w:tr>
      <w:tr w14:paraId="2B032BD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7E2C8103">
            <w:pPr>
              <w:keepNext w:val="0"/>
              <w:keepLines w:val="0"/>
              <w:widowControl/>
              <w:suppressLineNumbers w:val="0"/>
              <w:jc w:val="left"/>
              <w:rPr>
                <w:szCs w:val="21"/>
              </w:rPr>
            </w:pPr>
            <w:r>
              <w:rPr>
                <w:rFonts w:ascii="宋体" w:hAnsi="宋体" w:eastAsia="宋体" w:cs="宋体"/>
                <w:kern w:val="0"/>
                <w:sz w:val="21"/>
                <w:szCs w:val="21"/>
                <w:lang w:val="en-US" w:eastAsia="zh-CN" w:bidi="ar"/>
              </w:rPr>
              <w:t>工作温度</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B4F9824">
            <w:pPr>
              <w:keepNext w:val="0"/>
              <w:keepLines w:val="0"/>
              <w:widowControl/>
              <w:suppressLineNumbers w:val="0"/>
              <w:jc w:val="left"/>
              <w:rPr>
                <w:szCs w:val="21"/>
              </w:rPr>
            </w:pPr>
            <w:r>
              <w:rPr>
                <w:rFonts w:ascii="宋体" w:hAnsi="宋体" w:eastAsia="宋体" w:cs="宋体"/>
                <w:kern w:val="0"/>
                <w:sz w:val="21"/>
                <w:szCs w:val="21"/>
                <w:lang w:val="en-US" w:eastAsia="zh-CN" w:bidi="ar"/>
              </w:rPr>
              <w:t>–10℃ ～ 50℃</w:t>
            </w:r>
          </w:p>
        </w:tc>
      </w:tr>
      <w:tr w14:paraId="50F5E82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4DEB4D6A">
            <w:pPr>
              <w:keepNext w:val="0"/>
              <w:keepLines w:val="0"/>
              <w:widowControl/>
              <w:suppressLineNumbers w:val="0"/>
              <w:jc w:val="left"/>
              <w:rPr>
                <w:szCs w:val="21"/>
              </w:rPr>
            </w:pPr>
            <w:r>
              <w:rPr>
                <w:rFonts w:ascii="宋体" w:hAnsi="宋体" w:eastAsia="宋体" w:cs="宋体"/>
                <w:kern w:val="0"/>
                <w:sz w:val="21"/>
                <w:szCs w:val="21"/>
                <w:lang w:val="en-US" w:eastAsia="zh-CN" w:bidi="ar"/>
              </w:rPr>
              <w:t>存储温度</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5E3CBE0F">
            <w:pPr>
              <w:keepNext w:val="0"/>
              <w:keepLines w:val="0"/>
              <w:widowControl/>
              <w:suppressLineNumbers w:val="0"/>
              <w:jc w:val="left"/>
              <w:rPr>
                <w:szCs w:val="21"/>
              </w:rPr>
            </w:pPr>
            <w:r>
              <w:rPr>
                <w:rFonts w:ascii="宋体" w:hAnsi="宋体" w:eastAsia="宋体" w:cs="宋体"/>
                <w:kern w:val="0"/>
                <w:sz w:val="21"/>
                <w:szCs w:val="21"/>
                <w:lang w:val="en-US" w:eastAsia="zh-CN" w:bidi="ar"/>
              </w:rPr>
              <w:t>–30℃ ～ 70℃</w:t>
            </w:r>
          </w:p>
        </w:tc>
      </w:tr>
      <w:tr w14:paraId="67FC1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4282E6FA">
            <w:pPr>
              <w:keepNext w:val="0"/>
              <w:keepLines w:val="0"/>
              <w:widowControl/>
              <w:suppressLineNumbers w:val="0"/>
              <w:jc w:val="left"/>
              <w:rPr>
                <w:szCs w:val="21"/>
              </w:rPr>
            </w:pPr>
            <w:r>
              <w:rPr>
                <w:rFonts w:ascii="宋体" w:hAnsi="宋体" w:eastAsia="宋体" w:cs="宋体"/>
                <w:kern w:val="0"/>
                <w:sz w:val="21"/>
                <w:szCs w:val="21"/>
                <w:lang w:val="en-US" w:eastAsia="zh-CN" w:bidi="ar"/>
              </w:rPr>
              <w:t>外部接口</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1E3647A3">
            <w:pPr>
              <w:keepNext w:val="0"/>
              <w:keepLines w:val="0"/>
              <w:widowControl/>
              <w:suppressLineNumbers w:val="0"/>
              <w:jc w:val="left"/>
              <w:rPr>
                <w:szCs w:val="21"/>
              </w:rPr>
            </w:pPr>
            <w:r>
              <w:rPr>
                <w:rFonts w:ascii="宋体" w:hAnsi="宋体" w:eastAsia="宋体" w:cs="宋体"/>
                <w:kern w:val="0"/>
                <w:sz w:val="21"/>
                <w:szCs w:val="21"/>
                <w:lang w:val="en-US" w:eastAsia="zh-CN" w:bidi="ar"/>
              </w:rPr>
              <w:t>Micro USB 调试口 ×1USB Type</w:t>
            </w:r>
            <w:r>
              <w:rPr>
                <w:rFonts w:ascii="宋体" w:hAnsi="宋体" w:eastAsia="宋体" w:cs="宋体"/>
                <w:kern w:val="0"/>
                <w:sz w:val="21"/>
                <w:szCs w:val="21"/>
                <w:lang w:val="en-US" w:eastAsia="zh-CN" w:bidi="ar"/>
              </w:rPr>
              <w:noBreakHyphen/>
            </w:r>
            <w:r>
              <w:rPr>
                <w:rFonts w:ascii="宋体" w:hAnsi="宋体" w:eastAsia="宋体" w:cs="宋体"/>
                <w:kern w:val="0"/>
                <w:sz w:val="21"/>
                <w:szCs w:val="21"/>
                <w:lang w:val="en-US" w:eastAsia="zh-CN" w:bidi="ar"/>
              </w:rPr>
              <w:t>A ×2SIM 卡座 ×1DC 电源接口 ×1RJ45 网口 ×1</w:t>
            </w:r>
          </w:p>
        </w:tc>
      </w:tr>
      <w:tr w14:paraId="4F2C4E1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15" w:type="dxa"/>
            <w:left w:w="15" w:type="dxa"/>
            <w:bottom w:w="15" w:type="dxa"/>
            <w:right w:w="15" w:type="dxa"/>
          </w:tblCellMar>
        </w:tblPrEx>
        <w:tc>
          <w:tcPr>
            <w:tcW w:w="1071"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6FED8CCE">
            <w:pPr>
              <w:keepNext w:val="0"/>
              <w:keepLines w:val="0"/>
              <w:widowControl/>
              <w:suppressLineNumbers w:val="0"/>
              <w:jc w:val="left"/>
              <w:rPr>
                <w:szCs w:val="21"/>
              </w:rPr>
            </w:pPr>
            <w:r>
              <w:rPr>
                <w:rFonts w:ascii="宋体" w:hAnsi="宋体" w:eastAsia="宋体" w:cs="宋体"/>
                <w:kern w:val="0"/>
                <w:sz w:val="21"/>
                <w:szCs w:val="21"/>
                <w:lang w:val="en-US" w:eastAsia="zh-CN" w:bidi="ar"/>
              </w:rPr>
              <w:t>扩展功能</w:t>
            </w:r>
          </w:p>
        </w:tc>
        <w:tc>
          <w:tcPr>
            <w:tcW w:w="3928" w:type="pct"/>
            <w:tcBorders>
              <w:top w:val="single" w:color="CCCCCC" w:sz="8" w:space="0"/>
              <w:left w:val="single" w:color="CCCCCC" w:sz="8" w:space="0"/>
              <w:bottom w:val="single" w:color="CCCCCC" w:sz="8" w:space="0"/>
              <w:right w:val="single" w:color="CCCCCC" w:sz="8" w:space="0"/>
            </w:tcBorders>
            <w:shd w:val="clear" w:color="auto" w:fill="auto"/>
            <w:tcMar>
              <w:top w:w="160" w:type="dxa"/>
              <w:left w:w="160" w:type="dxa"/>
              <w:bottom w:w="160" w:type="dxa"/>
              <w:right w:w="160" w:type="dxa"/>
            </w:tcMar>
            <w:vAlign w:val="center"/>
          </w:tcPr>
          <w:p w14:paraId="209BDD68">
            <w:pPr>
              <w:keepNext w:val="0"/>
              <w:keepLines w:val="0"/>
              <w:widowControl/>
              <w:suppressLineNumbers w:val="0"/>
              <w:jc w:val="left"/>
              <w:rPr>
                <w:szCs w:val="21"/>
              </w:rPr>
            </w:pPr>
            <w:r>
              <w:rPr>
                <w:rFonts w:hint="eastAsia" w:ascii="宋体" w:hAnsi="宋体" w:eastAsia="宋体" w:cs="宋体"/>
                <w:kern w:val="0"/>
                <w:sz w:val="21"/>
                <w:szCs w:val="21"/>
                <w:lang w:val="en-US" w:eastAsia="zh-CN" w:bidi="ar"/>
              </w:rPr>
              <w:t>需支持</w:t>
            </w:r>
            <w:r>
              <w:rPr>
                <w:rFonts w:ascii="宋体" w:hAnsi="宋体" w:eastAsia="宋体" w:cs="宋体"/>
                <w:kern w:val="0"/>
                <w:sz w:val="21"/>
                <w:szCs w:val="21"/>
                <w:lang w:val="en-US" w:eastAsia="zh-CN" w:bidi="ar"/>
              </w:rPr>
              <w:t>外接收银机、外接小票打印机</w:t>
            </w:r>
          </w:p>
        </w:tc>
      </w:tr>
    </w:tbl>
    <w:p w14:paraId="79B8AFAE">
      <w:pPr>
        <w:widowControl/>
        <w:numPr>
          <w:ilvl w:val="-1"/>
          <w:numId w:val="0"/>
        </w:numPr>
        <w:spacing w:line="360" w:lineRule="auto"/>
        <w:jc w:val="left"/>
        <w:rPr>
          <w:rFonts w:hint="eastAsia" w:ascii="宋体" w:hAnsi="宋体" w:eastAsia="宋体" w:cs="宋体"/>
          <w:b/>
          <w:bCs/>
          <w:kern w:val="0"/>
          <w:sz w:val="24"/>
          <w:lang w:val="en-US" w:eastAsia="zh-CN" w:bidi="ar"/>
        </w:rPr>
      </w:pPr>
      <w:r>
        <w:rPr>
          <w:rFonts w:hint="eastAsia" w:ascii="宋体" w:hAnsi="宋体" w:eastAsia="宋体" w:cs="宋体"/>
          <w:b/>
          <w:bCs/>
          <w:kern w:val="0"/>
          <w:sz w:val="24"/>
          <w:lang w:val="en-US" w:eastAsia="zh-CN" w:bidi="ar"/>
        </w:rPr>
        <w:t>五、</w:t>
      </w:r>
      <w:r>
        <w:rPr>
          <w:rFonts w:hint="eastAsia" w:ascii="宋体" w:hAnsi="宋体" w:eastAsia="宋体" w:cs="宋体"/>
          <w:b/>
          <w:bCs/>
          <w:kern w:val="0"/>
          <w:sz w:val="24"/>
          <w:lang w:val="en-US" w:eastAsia="zh-CN" w:bidi="ar"/>
        </w:rPr>
        <w:t>采购数量与预算</w:t>
      </w:r>
    </w:p>
    <w:tbl>
      <w:tblPr>
        <w:tblStyle w:val="4"/>
        <w:tblW w:w="8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58"/>
        <w:gridCol w:w="2858"/>
        <w:gridCol w:w="2859"/>
      </w:tblGrid>
      <w:tr w14:paraId="4067DE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8" w:type="dxa"/>
          </w:tcPr>
          <w:p w14:paraId="0670AD92">
            <w:pPr>
              <w:numPr>
                <w:ilvl w:val="-1"/>
                <w:numId w:val="0"/>
              </w:numPr>
              <w:jc w:val="center"/>
              <w:rPr>
                <w:rFonts w:hint="default"/>
                <w:b/>
                <w:bCs/>
                <w:vertAlign w:val="baseline"/>
                <w:lang w:val="en-US" w:eastAsia="zh-CN"/>
              </w:rPr>
            </w:pPr>
            <w:r>
              <w:rPr>
                <w:rFonts w:hint="eastAsia"/>
                <w:b/>
                <w:bCs/>
                <w:vertAlign w:val="baseline"/>
                <w:lang w:val="en-US" w:eastAsia="zh-CN"/>
              </w:rPr>
              <w:t>设备名称</w:t>
            </w:r>
          </w:p>
        </w:tc>
        <w:tc>
          <w:tcPr>
            <w:tcW w:w="2858" w:type="dxa"/>
          </w:tcPr>
          <w:p w14:paraId="054C33ED">
            <w:pPr>
              <w:numPr>
                <w:ilvl w:val="-1"/>
                <w:numId w:val="0"/>
              </w:numPr>
              <w:jc w:val="center"/>
              <w:rPr>
                <w:rFonts w:hint="default"/>
                <w:b/>
                <w:bCs/>
                <w:vertAlign w:val="baseline"/>
                <w:lang w:val="en-US" w:eastAsia="zh-CN"/>
              </w:rPr>
            </w:pPr>
            <w:r>
              <w:rPr>
                <w:rFonts w:hint="eastAsia"/>
                <w:b/>
                <w:bCs/>
                <w:vertAlign w:val="baseline"/>
                <w:lang w:val="en-US" w:eastAsia="zh-CN"/>
              </w:rPr>
              <w:t>采购数量（台）</w:t>
            </w:r>
          </w:p>
        </w:tc>
        <w:tc>
          <w:tcPr>
            <w:tcW w:w="2859" w:type="dxa"/>
          </w:tcPr>
          <w:p w14:paraId="544535FB">
            <w:pPr>
              <w:numPr>
                <w:ilvl w:val="-1"/>
                <w:numId w:val="0"/>
              </w:numPr>
              <w:jc w:val="center"/>
              <w:rPr>
                <w:rFonts w:hint="default"/>
                <w:b/>
                <w:bCs/>
                <w:vertAlign w:val="baseline"/>
                <w:lang w:val="en-US" w:eastAsia="zh-CN"/>
              </w:rPr>
            </w:pPr>
            <w:r>
              <w:rPr>
                <w:rFonts w:hint="eastAsia"/>
                <w:b/>
                <w:bCs/>
                <w:vertAlign w:val="baseline"/>
                <w:lang w:val="en-US" w:eastAsia="zh-CN"/>
              </w:rPr>
              <w:t>预算金额（万元）</w:t>
            </w:r>
          </w:p>
        </w:tc>
      </w:tr>
      <w:tr w14:paraId="64C6B2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58" w:type="dxa"/>
          </w:tcPr>
          <w:p w14:paraId="1B7F0234">
            <w:pPr>
              <w:numPr>
                <w:ilvl w:val="-1"/>
                <w:numId w:val="0"/>
              </w:numPr>
              <w:jc w:val="center"/>
              <w:rPr>
                <w:rFonts w:hint="eastAsia" w:ascii="宋体" w:hAnsi="宋体" w:eastAsia="宋体" w:cs="宋体"/>
                <w:szCs w:val="21"/>
                <w:vertAlign w:val="baseline"/>
                <w:lang w:val="en-US" w:eastAsia="zh-CN"/>
              </w:rPr>
            </w:pPr>
            <w:r>
              <w:rPr>
                <w:rFonts w:ascii="宋体" w:hAnsi="宋体" w:eastAsia="宋体" w:cs="宋体"/>
                <w:kern w:val="0"/>
                <w:sz w:val="21"/>
                <w:szCs w:val="21"/>
                <w:lang w:val="en-US" w:eastAsia="zh-CN" w:bidi="ar"/>
              </w:rPr>
              <w:t>桌面式消费机</w:t>
            </w:r>
          </w:p>
        </w:tc>
        <w:tc>
          <w:tcPr>
            <w:tcW w:w="2858" w:type="dxa"/>
          </w:tcPr>
          <w:p w14:paraId="44A9BB77">
            <w:pPr>
              <w:numPr>
                <w:ilvl w:val="-1"/>
                <w:numId w:val="0"/>
              </w:numPr>
              <w:jc w:val="center"/>
              <w:rPr>
                <w:rFonts w:hint="eastAsia" w:ascii="宋体" w:hAnsi="宋体" w:eastAsia="宋体" w:cs="宋体"/>
                <w:szCs w:val="21"/>
                <w:vertAlign w:val="baseline"/>
                <w:lang w:val="en-US" w:eastAsia="zh-CN"/>
              </w:rPr>
            </w:pPr>
            <w:r>
              <w:rPr>
                <w:rFonts w:hint="eastAsia" w:ascii="宋体" w:hAnsi="宋体" w:eastAsia="宋体" w:cs="宋体"/>
                <w:szCs w:val="21"/>
                <w:vertAlign w:val="baseline"/>
                <w:lang w:val="en-US" w:eastAsia="zh-CN"/>
              </w:rPr>
              <w:t>48</w:t>
            </w:r>
          </w:p>
        </w:tc>
        <w:tc>
          <w:tcPr>
            <w:tcW w:w="2859" w:type="dxa"/>
          </w:tcPr>
          <w:p w14:paraId="3D804681">
            <w:pPr>
              <w:numPr>
                <w:ilvl w:val="-1"/>
                <w:numId w:val="0"/>
              </w:numPr>
              <w:jc w:val="center"/>
              <w:rPr>
                <w:rFonts w:hint="eastAsia" w:ascii="宋体" w:hAnsi="宋体" w:eastAsia="宋体" w:cs="宋体"/>
                <w:szCs w:val="21"/>
                <w:vertAlign w:val="baseline"/>
                <w:lang w:val="en-US" w:eastAsia="zh-CN"/>
              </w:rPr>
            </w:pPr>
            <w:r>
              <w:rPr>
                <w:rFonts w:hint="eastAsia" w:ascii="宋体" w:hAnsi="宋体" w:eastAsia="宋体" w:cs="宋体"/>
                <w:szCs w:val="21"/>
                <w:vertAlign w:val="baseline"/>
                <w:lang w:val="en-US" w:eastAsia="zh-CN"/>
              </w:rPr>
              <w:t>17</w:t>
            </w:r>
          </w:p>
        </w:tc>
      </w:tr>
    </w:tbl>
    <w:p w14:paraId="256E8338">
      <w:pPr>
        <w:numPr>
          <w:ilvl w:val="-1"/>
          <w:numId w:val="0"/>
        </w:numPr>
        <w:rPr>
          <w:rFonts w:hint="eastAsia"/>
          <w:lang w:val="en-US" w:eastAsia="zh-CN"/>
        </w:rPr>
      </w:pPr>
    </w:p>
    <w:p w14:paraId="09E91D3D">
      <w:pPr>
        <w:widowControl/>
        <w:numPr>
          <w:ilvl w:val="-1"/>
          <w:numId w:val="0"/>
        </w:numPr>
        <w:spacing w:line="360" w:lineRule="auto"/>
        <w:jc w:val="left"/>
        <w:rPr>
          <w:rFonts w:hint="eastAsia" w:ascii="宋体" w:hAnsi="宋体" w:eastAsia="宋体" w:cs="宋体"/>
          <w:b/>
          <w:bCs/>
          <w:kern w:val="0"/>
          <w:sz w:val="24"/>
          <w:lang w:bidi="ar"/>
        </w:rPr>
      </w:pPr>
      <w:r>
        <w:rPr>
          <w:rFonts w:hint="eastAsia" w:ascii="宋体" w:hAnsi="宋体" w:eastAsia="宋体" w:cs="宋体"/>
          <w:b/>
          <w:bCs/>
          <w:kern w:val="0"/>
          <w:sz w:val="24"/>
          <w:lang w:val="en-US" w:eastAsia="zh-CN" w:bidi="ar"/>
        </w:rPr>
        <w:t>六</w:t>
      </w:r>
      <w:r>
        <w:rPr>
          <w:rFonts w:hint="eastAsia" w:ascii="宋体" w:hAnsi="宋体" w:eastAsia="宋体" w:cs="宋体"/>
          <w:b/>
          <w:bCs/>
          <w:kern w:val="0"/>
          <w:sz w:val="24"/>
          <w:lang w:val="en-US" w:eastAsia="zh-CN" w:bidi="ar"/>
        </w:rPr>
        <w:t>、</w:t>
      </w:r>
      <w:r>
        <w:rPr>
          <w:rFonts w:hint="eastAsia" w:ascii="宋体" w:hAnsi="宋体" w:eastAsia="宋体" w:cs="宋体"/>
          <w:b/>
          <w:bCs/>
          <w:kern w:val="0"/>
          <w:sz w:val="24"/>
          <w:lang w:bidi="ar"/>
        </w:rPr>
        <w:t>验收</w:t>
      </w:r>
    </w:p>
    <w:p w14:paraId="7073A05B">
      <w:pPr>
        <w:numPr>
          <w:ilvl w:val="-1"/>
          <w:numId w:val="0"/>
        </w:numPr>
        <w:ind w:firstLine="420" w:firstLineChars="200"/>
        <w:rPr>
          <w:rFonts w:hint="eastAsia" w:ascii="宋体" w:hAnsi="宋体" w:eastAsia="宋体" w:cs="宋体"/>
          <w:lang w:val="en-US" w:eastAsia="zh-CN"/>
        </w:rPr>
      </w:pPr>
      <w:r>
        <w:rPr>
          <w:rFonts w:hint="eastAsia" w:ascii="宋体" w:hAnsi="宋体" w:eastAsia="宋体" w:cs="宋体"/>
          <w:lang w:val="en-US" w:eastAsia="zh-CN"/>
        </w:rPr>
        <w:t>设备须进行不少于7个工作日的连续试运行测试，试运行期间，中标单位须安排技术人员及时处理各类故障；试运行结束后，验收小组核查试运行记录，要求如大批量消费无死机、无掉线、数据不丢失，日对账、月对账无差额，设备运行稳定可靠等要求。</w:t>
      </w:r>
    </w:p>
    <w:p w14:paraId="7EE134CD">
      <w:pPr>
        <w:numPr>
          <w:ilvl w:val="-1"/>
          <w:numId w:val="0"/>
        </w:numPr>
        <w:ind w:firstLine="420" w:firstLineChars="200"/>
        <w:rPr>
          <w:rFonts w:hint="eastAsia" w:ascii="宋体" w:hAnsi="宋体" w:eastAsia="宋体" w:cs="宋体"/>
        </w:rPr>
      </w:pPr>
      <w:r>
        <w:rPr>
          <w:rFonts w:hint="eastAsia" w:ascii="宋体" w:hAnsi="宋体" w:eastAsia="宋体" w:cs="宋体"/>
          <w:lang w:val="en-US" w:eastAsia="zh-CN"/>
        </w:rPr>
        <w:t>验收合格的，双方签署《验收合格单》，明确验收合格日期、质保起止时间、设备型号、序列号等信息。验收不合格的，甲方出具《验收整改通知书》，中标单位须在规定期限内完成整改，整改后重新申请验收，直至验收合格；若两次整改后仍未达标，甲方有权解除合同，中标单位须承担相应的违约责任及甲方损失。</w:t>
      </w:r>
    </w:p>
    <w:p w14:paraId="2532B905">
      <w:pPr>
        <w:widowControl/>
        <w:numPr>
          <w:ilvl w:val="-1"/>
          <w:numId w:val="0"/>
        </w:numPr>
        <w:spacing w:line="360" w:lineRule="auto"/>
        <w:jc w:val="left"/>
        <w:rPr>
          <w:rFonts w:hint="eastAsia" w:ascii="宋体" w:hAnsi="宋体" w:eastAsia="宋体" w:cs="宋体"/>
          <w:b/>
          <w:bCs/>
          <w:kern w:val="0"/>
          <w:sz w:val="24"/>
          <w:lang w:bidi="ar"/>
        </w:rPr>
      </w:pPr>
      <w:r>
        <w:rPr>
          <w:rFonts w:hint="eastAsia" w:ascii="宋体" w:hAnsi="宋体" w:eastAsia="宋体" w:cs="宋体"/>
          <w:b/>
          <w:bCs/>
          <w:kern w:val="0"/>
          <w:sz w:val="24"/>
          <w:lang w:bidi="ar"/>
        </w:rPr>
        <w:t>七、售后服务</w:t>
      </w:r>
    </w:p>
    <w:p w14:paraId="7493B06F">
      <w:pPr>
        <w:numPr>
          <w:ilvl w:val="-1"/>
          <w:numId w:val="0"/>
        </w:numPr>
        <w:ind w:firstLine="420" w:firstLineChars="200"/>
        <w:rPr>
          <w:rFonts w:hint="eastAsia"/>
          <w:lang w:eastAsia="zh-CN"/>
        </w:rPr>
      </w:pPr>
      <w:r>
        <w:rPr>
          <w:rFonts w:hint="eastAsia" w:ascii="宋体" w:hAnsi="宋体" w:eastAsia="宋体" w:cs="宋体"/>
        </w:rPr>
        <w:t>1、</w:t>
      </w:r>
      <w:r>
        <w:rPr>
          <w:rFonts w:hint="eastAsia"/>
          <w:lang w:val="en-US" w:eastAsia="zh-CN"/>
        </w:rPr>
        <w:t>培训内容</w:t>
      </w:r>
    </w:p>
    <w:p w14:paraId="7CBADE93">
      <w:pPr>
        <w:numPr>
          <w:ilvl w:val="-1"/>
          <w:numId w:val="0"/>
        </w:numPr>
        <w:ind w:firstLine="420" w:firstLineChars="200"/>
        <w:rPr>
          <w:rFonts w:hint="eastAsia"/>
          <w:lang w:eastAsia="zh-CN"/>
        </w:rPr>
      </w:pPr>
      <w:r>
        <w:rPr>
          <w:rFonts w:hint="eastAsia"/>
          <w:lang w:val="en-US" w:eastAsia="zh-CN"/>
        </w:rPr>
        <w:t>中标单位须免费为甲方食堂管理员、收银操作人员提供现场专项培训，培训内容包括设备日常操作、常见故障处理、数据对账等，确保相关人员熟练掌握各项操作技能，包括能独立完成至少3笔不同类型交易（如消费、撤销、扫码），且无操作失误。能独立完成日常运营及基础维护工作。</w:t>
      </w:r>
      <w:r>
        <w:rPr>
          <w:rFonts w:hint="eastAsia"/>
          <w:lang w:eastAsia="zh-CN"/>
        </w:rPr>
        <w:t xml:space="preserve"> </w:t>
      </w:r>
    </w:p>
    <w:p w14:paraId="3DB7DBCE">
      <w:pPr>
        <w:numPr>
          <w:ilvl w:val="0"/>
          <w:numId w:val="3"/>
        </w:numPr>
        <w:ind w:left="210" w:leftChars="100" w:firstLine="210" w:firstLineChars="100"/>
        <w:rPr>
          <w:rFonts w:hint="eastAsia"/>
          <w:lang w:eastAsia="zh-CN"/>
        </w:rPr>
      </w:pPr>
      <w:r>
        <w:rPr>
          <w:rFonts w:hint="eastAsia"/>
        </w:rPr>
        <w:t>质保期</w:t>
      </w:r>
      <w:r>
        <w:rPr>
          <w:rFonts w:hint="eastAsia"/>
          <w:lang w:val="en-US" w:eastAsia="zh-CN"/>
        </w:rPr>
        <w:t>限</w:t>
      </w:r>
    </w:p>
    <w:p w14:paraId="3E8A28EC">
      <w:pPr>
        <w:numPr>
          <w:ilvl w:val="-1"/>
          <w:numId w:val="0"/>
        </w:numPr>
        <w:ind w:firstLine="420" w:firstLineChars="200"/>
        <w:rPr>
          <w:rFonts w:hint="default" w:eastAsiaTheme="minorEastAsia"/>
          <w:lang w:val="en-US" w:eastAsia="zh-CN"/>
        </w:rPr>
      </w:pPr>
      <w:r>
        <w:rPr>
          <w:rFonts w:hint="eastAsia"/>
          <w:lang w:val="en-US" w:eastAsia="zh-CN"/>
        </w:rPr>
        <w:t>提供3年免费质保服务，质保期限自验收合格之日起三年，质保期内非人为损坏免费维修或更换。</w:t>
      </w:r>
    </w:p>
    <w:p w14:paraId="2DAB7E0A">
      <w:pPr>
        <w:numPr>
          <w:ilvl w:val="0"/>
          <w:numId w:val="3"/>
        </w:numPr>
        <w:ind w:left="210" w:leftChars="100" w:firstLine="210" w:firstLineChars="100"/>
        <w:rPr>
          <w:rFonts w:hint="eastAsia"/>
          <w:lang w:eastAsia="zh-CN"/>
        </w:rPr>
      </w:pPr>
      <w:r>
        <w:rPr>
          <w:rFonts w:hint="eastAsia"/>
          <w:lang w:val="en-US" w:eastAsia="zh-CN"/>
        </w:rPr>
        <w:t>质保响应要求</w:t>
      </w:r>
      <w:r>
        <w:rPr>
          <w:rFonts w:hint="eastAsia"/>
          <w:lang w:eastAsia="zh-CN"/>
        </w:rPr>
        <w:t>。</w:t>
      </w:r>
    </w:p>
    <w:p w14:paraId="616D9101">
      <w:pPr>
        <w:numPr>
          <w:ilvl w:val="-1"/>
          <w:numId w:val="0"/>
        </w:numPr>
        <w:ind w:leftChars="0" w:firstLine="420" w:firstLineChars="200"/>
        <w:rPr>
          <w:rFonts w:hint="eastAsia"/>
          <w:lang w:val="en-US" w:eastAsia="zh-CN"/>
        </w:rPr>
      </w:pPr>
      <w:r>
        <w:rPr>
          <w:rFonts w:hint="eastAsia"/>
          <w:lang w:val="en-US" w:eastAsia="zh-CN"/>
        </w:rPr>
        <w:t>验收合格后，中标单位须明确上门维修响应时效。设备出现故障，服务商需在2小时内响应，48小时内提供解决方案（远程或上门），以及故障处理流程、备用机替换保障机制（设备故障无法及时修复时，须提供备用机确保食堂正常消费）。</w:t>
      </w:r>
    </w:p>
    <w:p w14:paraId="312730FA">
      <w:pPr>
        <w:numPr>
          <w:ilvl w:val="-1"/>
          <w:numId w:val="0"/>
        </w:numPr>
        <w:ind w:leftChars="0" w:firstLine="420" w:firstLineChars="200"/>
        <w:rPr>
          <w:rFonts w:hint="eastAsia"/>
          <w:lang w:val="en-US" w:eastAsia="zh-CN"/>
        </w:rPr>
      </w:pPr>
      <w:r>
        <w:rPr>
          <w:rFonts w:hint="eastAsia"/>
          <w:lang w:val="en-US" w:eastAsia="zh-CN"/>
        </w:rPr>
        <w:t>定期巡检：每季度对商户进行一次设备巡检，清理设备、更新系统、优化性能。</w:t>
      </w:r>
    </w:p>
    <w:p w14:paraId="347B0095">
      <w:pPr>
        <w:numPr>
          <w:ilvl w:val="-1"/>
          <w:numId w:val="0"/>
        </w:numPr>
        <w:ind w:leftChars="0" w:firstLine="420" w:firstLineChars="200"/>
        <w:rPr>
          <w:rFonts w:hint="eastAsia"/>
          <w:lang w:val="en-US" w:eastAsia="zh-CN"/>
        </w:rPr>
      </w:pPr>
      <w:r>
        <w:rPr>
          <w:rFonts w:hint="eastAsia"/>
          <w:lang w:val="en-US" w:eastAsia="zh-CN"/>
        </w:rPr>
        <w:t>4、质保期满后升级服务、维保周期、维保项目及相关服务的软硬件价格。</w:t>
      </w:r>
    </w:p>
    <w:p w14:paraId="397B3A54">
      <w:pPr>
        <w:numPr>
          <w:ilvl w:val="-1"/>
          <w:numId w:val="0"/>
        </w:numPr>
        <w:ind w:leftChars="0" w:firstLine="420" w:firstLineChars="200"/>
        <w:rPr>
          <w:rFonts w:hint="eastAsia"/>
          <w:lang w:val="en-US" w:eastAsia="zh-CN"/>
        </w:rPr>
      </w:pPr>
      <w:r>
        <w:rPr>
          <w:rFonts w:hint="eastAsia"/>
          <w:lang w:val="en-US" w:eastAsia="zh-CN"/>
        </w:rPr>
        <w:t>质保期届满后，⼄⽅将继续提供有偿维护服务，服务内容和等级与质保期保持⼀致，每年维保的价格不超过本合同总价的10 % 。</w:t>
      </w:r>
      <w:bookmarkStart w:id="0" w:name="_GoBack"/>
      <w:bookmarkEnd w:id="0"/>
    </w:p>
    <w:p w14:paraId="08FFE662">
      <w:pPr>
        <w:numPr>
          <w:ilvl w:val="-1"/>
          <w:numId w:val="0"/>
        </w:numPr>
        <w:ind w:leftChars="0" w:firstLine="420" w:firstLineChars="200"/>
        <w:rPr>
          <w:rFonts w:hint="eastAsia"/>
          <w:lang w:val="en-US" w:eastAsia="zh-CN"/>
        </w:rPr>
      </w:pPr>
    </w:p>
    <w:p w14:paraId="7AA95221">
      <w:pPr>
        <w:numPr>
          <w:ilvl w:val="-1"/>
          <w:numId w:val="0"/>
        </w:numPr>
        <w:ind w:leftChars="0" w:firstLine="0" w:firstLineChars="0"/>
        <w:rPr>
          <w:rFonts w:hint="default"/>
          <w:lang w:val="en-US" w:eastAsia="zh-CN"/>
        </w:rPr>
      </w:pPr>
    </w:p>
    <w:p w14:paraId="5F5F4310">
      <w:pPr>
        <w:numPr>
          <w:ilvl w:val="-1"/>
          <w:numId w:val="0"/>
        </w:numPr>
        <w:ind w:leftChars="200"/>
        <w:rPr>
          <w:rFonts w:hint="eastAsia"/>
        </w:rPr>
      </w:pPr>
    </w:p>
    <w:p w14:paraId="5CBBF855">
      <w:pPr>
        <w:numPr>
          <w:ilvl w:val="-1"/>
          <w:numId w:val="0"/>
        </w:numPr>
        <w:ind w:leftChars="200"/>
        <w:rPr>
          <w:rFonts w:hint="default" w:eastAsiaTheme="minorEastAsia"/>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libri Light">
    <w:panose1 w:val="020F0302020204030204"/>
    <w:charset w:val="00"/>
    <w:family w:val="auto"/>
    <w:pitch w:val="default"/>
    <w:sig w:usb0="E4002EFF" w:usb1="C0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7054ED7"/>
    <w:multiLevelType w:val="singleLevel"/>
    <w:tmpl w:val="A7054ED7"/>
    <w:lvl w:ilvl="0" w:tentative="0">
      <w:start w:val="2"/>
      <w:numFmt w:val="decimal"/>
      <w:suff w:val="nothing"/>
      <w:lvlText w:val="%1、"/>
      <w:lvlJc w:val="left"/>
    </w:lvl>
  </w:abstractNum>
  <w:abstractNum w:abstractNumId="1">
    <w:nsid w:val="46E20843"/>
    <w:multiLevelType w:val="singleLevel"/>
    <w:tmpl w:val="46E20843"/>
    <w:lvl w:ilvl="0" w:tentative="0">
      <w:start w:val="1"/>
      <w:numFmt w:val="decimal"/>
      <w:lvlText w:val="%1."/>
      <w:lvlJc w:val="left"/>
      <w:pPr>
        <w:tabs>
          <w:tab w:val="left" w:pos="312"/>
        </w:tabs>
      </w:pPr>
    </w:lvl>
  </w:abstractNum>
  <w:abstractNum w:abstractNumId="2">
    <w:nsid w:val="7FFBD9D6"/>
    <w:multiLevelType w:val="singleLevel"/>
    <w:tmpl w:val="7FFBD9D6"/>
    <w:lvl w:ilvl="0" w:tentative="0">
      <w:start w:val="3"/>
      <w:numFmt w:val="chineseCounting"/>
      <w:suff w:val="nothing"/>
      <w:lvlText w:val="%1、"/>
      <w:lvlJc w:val="left"/>
      <w:rPr>
        <w:rFonts w:hint="eastAsia"/>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D1B74D6"/>
    <w:rsid w:val="0BC02AD7"/>
    <w:rsid w:val="16856779"/>
    <w:rsid w:val="22EB2B75"/>
    <w:rsid w:val="2D1B74D6"/>
    <w:rsid w:val="2DAB6338"/>
    <w:rsid w:val="2FF72781"/>
    <w:rsid w:val="42E61C2F"/>
    <w:rsid w:val="61BE2894"/>
    <w:rsid w:val="63C07C1D"/>
    <w:rsid w:val="6861124B"/>
    <w:rsid w:val="69192F7D"/>
    <w:rsid w:val="7DFF5CE6"/>
    <w:rsid w:val="F7DAD150"/>
    <w:rsid w:val="FFBFDB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nhideWhenUsed="0" w:uiPriority="0" w:semiHidden="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qFormat="1"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9"/>
    <w:pPr>
      <w:keepNext/>
      <w:keepLines/>
      <w:spacing w:before="480" w:after="0"/>
      <w:outlineLvl w:val="0"/>
    </w:pPr>
    <w:rPr>
      <w:rFonts w:asciiTheme="majorHAnsi" w:hAnsiTheme="majorHAnsi" w:eastAsiaTheme="majorEastAsia" w:cstheme="majorBidi"/>
      <w:b/>
      <w:bCs/>
      <w:color w:val="2E54A1" w:themeColor="accent1" w:themeShade="BF"/>
      <w:sz w:val="28"/>
      <w:szCs w:val="28"/>
    </w:rPr>
  </w:style>
  <w:style w:type="character" w:default="1" w:styleId="6">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5">
    <w:name w:val="Light Grid Accent 1"/>
    <w:basedOn w:val="3"/>
    <w:qFormat/>
    <w:uiPriority w:val="62"/>
    <w:pPr>
      <w:spacing w:after="0" w:line="240" w:lineRule="auto"/>
    </w:pPr>
    <w:tblPr>
      <w:tblBorders>
        <w:top w:val="single" w:color="4874CB" w:themeColor="accent1" w:sz="8" w:space="0"/>
        <w:left w:val="single" w:color="4874CB" w:themeColor="accent1" w:sz="8" w:space="0"/>
        <w:bottom w:val="single" w:color="4874CB" w:themeColor="accent1" w:sz="8" w:space="0"/>
        <w:right w:val="single" w:color="4874CB" w:themeColor="accent1" w:sz="8" w:space="0"/>
        <w:insideH w:val="single" w:color="4874CB" w:themeColor="accent1" w:sz="8" w:space="0"/>
        <w:insideV w:val="single" w:color="4874CB"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18" w:space="0"/>
          <w:right w:val="single" w:color="4874CB"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874CB" w:themeColor="accent1" w:sz="6" w:space="0"/>
          <w:left w:val="single" w:color="4874CB" w:themeColor="accent1" w:sz="8" w:space="0"/>
          <w:bottom w:val="single" w:color="4874CB" w:themeColor="accent1" w:sz="8" w:space="0"/>
          <w:right w:val="single" w:color="4874CB"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tcPr>
    </w:tblStylePr>
    <w:tblStylePr w:type="band1Vert">
      <w:tblPr/>
      <w:tcPr>
        <w:tcBorders>
          <w:top w:val="single" w:color="4874CB" w:themeColor="accent1" w:sz="8" w:space="0"/>
          <w:left w:val="single" w:color="4874CB" w:themeColor="accent1" w:sz="8" w:space="0"/>
          <w:bottom w:val="single" w:color="4874CB" w:themeColor="accent1" w:sz="8" w:space="0"/>
          <w:right w:val="single" w:color="4874CB" w:themeColor="accent1" w:sz="8" w:space="0"/>
        </w:tcBorders>
        <w:shd w:val="clear" w:color="auto" w:fill="D1DCF2" w:themeFill="accent1" w:themeFillTint="3F"/>
      </w:tcPr>
    </w:tblStylePr>
    <w:tblStylePr w:type="band1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shd w:val="clear" w:color="auto" w:fill="D1DCF2" w:themeFill="accent1" w:themeFillTint="3F"/>
      </w:tcPr>
    </w:tblStylePr>
    <w:tblStylePr w:type="band2Horz">
      <w:tblPr/>
      <w:tcPr>
        <w:tcBorders>
          <w:top w:val="single" w:color="4874CB" w:themeColor="accent1" w:sz="8" w:space="0"/>
          <w:left w:val="single" w:color="4874CB" w:themeColor="accent1" w:sz="8" w:space="0"/>
          <w:bottom w:val="single" w:color="4874CB" w:themeColor="accent1" w:sz="8" w:space="0"/>
          <w:right w:val="single" w:color="4874CB" w:themeColor="accent1" w:sz="8" w:space="0"/>
          <w:insideV w:val="single" w:sz="8" w:space="0"/>
        </w:tcBorders>
      </w:tcPr>
    </w:tblStyle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672</Words>
  <Characters>685</Characters>
  <Lines>0</Lines>
  <Paragraphs>0</Paragraphs>
  <TotalTime>9</TotalTime>
  <ScaleCrop>false</ScaleCrop>
  <LinksUpToDate>false</LinksUpToDate>
  <CharactersWithSpaces>685</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2025-10-22T17:48:00Z</dcterms:created>
  <dc:creator>边赛</dc:creator>
  <cp:lastModifiedBy>简凌宇</cp:lastModifiedBy>
  <dcterms:modified xsi:type="dcterms:W3CDTF">2026-05-18T05:00:43Z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C8AD9B78053D4EE588248A9439283041_13</vt:lpwstr>
  </property>
  <property fmtid="{D5CDD505-2E9C-101B-9397-08002B2CF9AE}" pid="4" name="KSOTemplateDocerSaveRecord">
    <vt:lpwstr>eyJoZGlkIjoiYmFkODBiY2I4YTI4OGYzY2JmZWQ4NWU1NDUxM2NiNTkiLCJ1c2VySWQiOiIxNzAyMjcxNzMwIn0=</vt:lpwstr>
  </property>
</Properties>
</file>