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38E9C59">
      <w:pPr>
        <w:jc w:val="center"/>
        <w:rPr>
          <w:rFonts w:hint="eastAsia" w:ascii="宋体" w:hAnsi="宋体" w:eastAsia="宋体" w:cs="宋体"/>
          <w:b/>
          <w:sz w:val="32"/>
          <w:lang w:val="en-US" w:eastAsia="zh-CN"/>
        </w:rPr>
      </w:pPr>
      <w:r>
        <w:rPr>
          <w:rFonts w:hint="eastAsia" w:ascii="宋体" w:hAnsi="宋体" w:eastAsia="宋体" w:cs="宋体"/>
          <w:b/>
          <w:sz w:val="32"/>
          <w:lang w:val="en-US" w:eastAsia="zh-CN"/>
        </w:rPr>
        <w:t>2026年松江校区西门人脸识别速通门</w:t>
      </w:r>
      <w:r>
        <w:rPr>
          <w:rFonts w:hint="eastAsia" w:ascii="宋体" w:hAnsi="宋体" w:eastAsia="宋体" w:cs="宋体"/>
          <w:b/>
          <w:sz w:val="32"/>
        </w:rPr>
        <w:t>采购</w:t>
      </w:r>
      <w:r>
        <w:rPr>
          <w:rFonts w:hint="eastAsia" w:ascii="宋体" w:hAnsi="宋体" w:eastAsia="宋体" w:cs="宋体"/>
          <w:b/>
          <w:sz w:val="32"/>
          <w:lang w:val="en-US" w:eastAsia="zh-CN"/>
        </w:rPr>
        <w:t>项目</w:t>
      </w:r>
    </w:p>
    <w:p w14:paraId="75626582">
      <w:pPr>
        <w:jc w:val="center"/>
        <w:rPr>
          <w:rFonts w:hint="eastAsia" w:ascii="宋体" w:hAnsi="宋体" w:eastAsia="宋体" w:cs="宋体"/>
          <w:b/>
          <w:sz w:val="32"/>
        </w:rPr>
      </w:pPr>
      <w:r>
        <w:rPr>
          <w:rFonts w:hint="eastAsia" w:ascii="宋体" w:hAnsi="宋体" w:eastAsia="宋体" w:cs="宋体"/>
          <w:b/>
          <w:sz w:val="32"/>
          <w:lang w:val="en-US" w:eastAsia="zh-CN"/>
        </w:rPr>
        <w:t>采购</w:t>
      </w:r>
      <w:r>
        <w:rPr>
          <w:rFonts w:hint="eastAsia" w:ascii="宋体" w:hAnsi="宋体" w:eastAsia="宋体" w:cs="宋体"/>
          <w:b/>
          <w:sz w:val="32"/>
        </w:rPr>
        <w:t>需求</w:t>
      </w:r>
    </w:p>
    <w:p w14:paraId="7E39793E">
      <w:pPr>
        <w:rPr>
          <w:rFonts w:hint="eastAsia" w:ascii="宋体" w:hAnsi="宋体" w:eastAsia="宋体" w:cs="宋体"/>
        </w:rPr>
      </w:pPr>
    </w:p>
    <w:p w14:paraId="2A064125">
      <w:pPr>
        <w:keepNext w:val="0"/>
        <w:keepLines w:val="0"/>
        <w:pageBreakBefore w:val="0"/>
        <w:kinsoku/>
        <w:wordWrap/>
        <w:overflowPunct/>
        <w:topLinePunct w:val="0"/>
        <w:autoSpaceDE/>
        <w:autoSpaceDN/>
        <w:bidi w:val="0"/>
        <w:adjustRightInd/>
        <w:snapToGrid/>
        <w:spacing w:line="560" w:lineRule="atLeast"/>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rPr>
        <w:t>项目名称：</w:t>
      </w:r>
      <w:r>
        <w:rPr>
          <w:rFonts w:hint="eastAsia" w:ascii="宋体" w:hAnsi="宋体" w:eastAsia="宋体" w:cs="宋体"/>
          <w:color w:val="auto"/>
          <w:sz w:val="24"/>
          <w:szCs w:val="24"/>
          <w:lang w:val="en-US" w:eastAsia="zh-CN"/>
        </w:rPr>
        <w:t>2026年松江校区西门人脸识别速通门采购项目</w:t>
      </w:r>
    </w:p>
    <w:p w14:paraId="3AFEA387">
      <w:pPr>
        <w:keepNext w:val="0"/>
        <w:keepLines w:val="0"/>
        <w:pageBreakBefore w:val="0"/>
        <w:kinsoku/>
        <w:wordWrap/>
        <w:overflowPunct/>
        <w:topLinePunct w:val="0"/>
        <w:autoSpaceDE/>
        <w:autoSpaceDN/>
        <w:bidi w:val="0"/>
        <w:adjustRightInd/>
        <w:snapToGrid/>
        <w:spacing w:line="560" w:lineRule="atLeast"/>
        <w:rPr>
          <w:rFonts w:hint="eastAsia" w:ascii="宋体" w:hAnsi="宋体" w:eastAsia="宋体" w:cs="宋体"/>
          <w:color w:val="auto"/>
          <w:sz w:val="24"/>
          <w:szCs w:val="24"/>
        </w:rPr>
      </w:pPr>
      <w:r>
        <w:rPr>
          <w:rFonts w:hint="eastAsia" w:ascii="宋体" w:hAnsi="宋体" w:eastAsia="宋体" w:cs="宋体"/>
          <w:color w:val="auto"/>
          <w:sz w:val="24"/>
          <w:szCs w:val="24"/>
        </w:rPr>
        <w:t>预算金额：</w:t>
      </w:r>
      <w:r>
        <w:rPr>
          <w:rFonts w:hint="eastAsia" w:ascii="宋体" w:hAnsi="宋体" w:eastAsia="宋体" w:cs="宋体"/>
          <w:color w:val="auto"/>
          <w:sz w:val="24"/>
          <w:szCs w:val="24"/>
          <w:lang w:val="en-US" w:eastAsia="zh-CN"/>
        </w:rPr>
        <w:t>110000</w:t>
      </w:r>
      <w:r>
        <w:rPr>
          <w:rFonts w:hint="eastAsia" w:ascii="宋体" w:hAnsi="宋体" w:eastAsia="宋体" w:cs="宋体"/>
          <w:color w:val="auto"/>
          <w:sz w:val="24"/>
          <w:szCs w:val="24"/>
        </w:rPr>
        <w:t>元</w:t>
      </w:r>
    </w:p>
    <w:p w14:paraId="57BAF362">
      <w:pPr>
        <w:keepNext w:val="0"/>
        <w:keepLines w:val="0"/>
        <w:pageBreakBefore w:val="0"/>
        <w:kinsoku/>
        <w:wordWrap/>
        <w:overflowPunct/>
        <w:topLinePunct w:val="0"/>
        <w:autoSpaceDE/>
        <w:autoSpaceDN/>
        <w:bidi w:val="0"/>
        <w:adjustRightInd/>
        <w:snapToGrid/>
        <w:spacing w:line="560" w:lineRule="atLeast"/>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rPr>
        <w:t>采购方式：</w:t>
      </w:r>
      <w:r>
        <w:rPr>
          <w:rFonts w:hint="eastAsia" w:ascii="宋体" w:hAnsi="宋体" w:eastAsia="宋体" w:cs="宋体"/>
          <w:sz w:val="24"/>
          <w:szCs w:val="24"/>
          <w:highlight w:val="none"/>
          <w:lang w:val="en-US" w:eastAsia="zh-CN"/>
        </w:rPr>
        <w:t>公开比价</w:t>
      </w:r>
    </w:p>
    <w:p w14:paraId="70CC80D8">
      <w:pPr>
        <w:keepNext w:val="0"/>
        <w:keepLines w:val="0"/>
        <w:pageBreakBefore w:val="0"/>
        <w:kinsoku/>
        <w:wordWrap/>
        <w:overflowPunct/>
        <w:topLinePunct w:val="0"/>
        <w:autoSpaceDE/>
        <w:autoSpaceDN/>
        <w:bidi w:val="0"/>
        <w:adjustRightInd/>
        <w:snapToGrid/>
        <w:spacing w:line="560" w:lineRule="atLeast"/>
        <w:rPr>
          <w:rFonts w:hint="eastAsia" w:ascii="宋体" w:hAnsi="宋体" w:eastAsia="宋体" w:cs="宋体"/>
          <w:sz w:val="24"/>
          <w:szCs w:val="24"/>
        </w:rPr>
      </w:pPr>
      <w:r>
        <w:rPr>
          <w:rFonts w:hint="eastAsia" w:ascii="宋体" w:hAnsi="宋体" w:eastAsia="宋体" w:cs="宋体"/>
          <w:sz w:val="24"/>
          <w:szCs w:val="24"/>
        </w:rPr>
        <w:t xml:space="preserve">                   </w:t>
      </w:r>
    </w:p>
    <w:p w14:paraId="0BF9113F">
      <w:pPr>
        <w:keepNext w:val="0"/>
        <w:keepLines w:val="0"/>
        <w:pageBreakBefore w:val="0"/>
        <w:kinsoku/>
        <w:wordWrap/>
        <w:overflowPunct/>
        <w:topLinePunct w:val="0"/>
        <w:autoSpaceDE/>
        <w:autoSpaceDN/>
        <w:bidi w:val="0"/>
        <w:adjustRightInd/>
        <w:snapToGrid/>
        <w:spacing w:line="560" w:lineRule="atLeast"/>
        <w:rPr>
          <w:rFonts w:hint="eastAsia" w:ascii="宋体" w:hAnsi="宋体" w:eastAsia="宋体" w:cs="宋体"/>
          <w:b/>
          <w:bCs/>
          <w:sz w:val="24"/>
          <w:szCs w:val="24"/>
        </w:rPr>
      </w:pPr>
      <w:r>
        <w:rPr>
          <w:rFonts w:hint="eastAsia" w:ascii="宋体" w:hAnsi="宋体" w:eastAsia="宋体" w:cs="宋体"/>
          <w:b/>
          <w:bCs/>
          <w:sz w:val="24"/>
          <w:szCs w:val="24"/>
        </w:rPr>
        <w:t>一、合理的投标人资格条件</w:t>
      </w:r>
    </w:p>
    <w:p w14:paraId="45E30AB8">
      <w:pPr>
        <w:keepNext w:val="0"/>
        <w:keepLines w:val="0"/>
        <w:pageBreakBefore w:val="0"/>
        <w:kinsoku/>
        <w:wordWrap/>
        <w:overflowPunct/>
        <w:topLinePunct w:val="0"/>
        <w:autoSpaceDE/>
        <w:autoSpaceDN/>
        <w:bidi w:val="0"/>
        <w:adjustRightInd/>
        <w:snapToGrid/>
        <w:spacing w:line="560" w:lineRule="atLeast"/>
        <w:ind w:firstLine="480" w:firstLineChars="200"/>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1.符合《中华人民共和国政府采购法》第二十二条规定的供应商；</w:t>
      </w:r>
    </w:p>
    <w:p w14:paraId="559947D8">
      <w:pPr>
        <w:keepNext w:val="0"/>
        <w:keepLines w:val="0"/>
        <w:pageBreakBefore w:val="0"/>
        <w:kinsoku/>
        <w:wordWrap/>
        <w:overflowPunct/>
        <w:topLinePunct w:val="0"/>
        <w:autoSpaceDE/>
        <w:autoSpaceDN/>
        <w:bidi w:val="0"/>
        <w:adjustRightInd/>
        <w:snapToGrid/>
        <w:spacing w:line="560" w:lineRule="atLeast"/>
        <w:ind w:firstLine="480" w:firstLineChars="200"/>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2.投标人必须是在中国境内注册，具有独立企业法人资格；</w:t>
      </w:r>
    </w:p>
    <w:p w14:paraId="32E9F424">
      <w:pPr>
        <w:keepNext w:val="0"/>
        <w:keepLines w:val="0"/>
        <w:pageBreakBefore w:val="0"/>
        <w:kinsoku/>
        <w:wordWrap/>
        <w:overflowPunct/>
        <w:topLinePunct w:val="0"/>
        <w:autoSpaceDE/>
        <w:autoSpaceDN/>
        <w:bidi w:val="0"/>
        <w:adjustRightInd/>
        <w:snapToGrid/>
        <w:spacing w:line="560" w:lineRule="atLeast"/>
        <w:ind w:firstLine="480" w:firstLineChars="200"/>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3.投标单位需在本市具有固定的经营场所，能提供良好的技术支持和售后服务。</w:t>
      </w:r>
    </w:p>
    <w:p w14:paraId="5C9995BE">
      <w:pPr>
        <w:keepNext w:val="0"/>
        <w:keepLines w:val="0"/>
        <w:pageBreakBefore w:val="0"/>
        <w:kinsoku/>
        <w:wordWrap/>
        <w:overflowPunct/>
        <w:topLinePunct w:val="0"/>
        <w:autoSpaceDE/>
        <w:autoSpaceDN/>
        <w:bidi w:val="0"/>
        <w:adjustRightInd/>
        <w:snapToGrid/>
        <w:spacing w:line="560" w:lineRule="atLeast"/>
        <w:ind w:firstLine="480" w:firstLineChars="200"/>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4.本项目面向大、中、小、微型等各类供应商采购；</w:t>
      </w:r>
    </w:p>
    <w:p w14:paraId="52650737">
      <w:pPr>
        <w:keepNext w:val="0"/>
        <w:keepLines w:val="0"/>
        <w:pageBreakBefore w:val="0"/>
        <w:kinsoku/>
        <w:wordWrap/>
        <w:overflowPunct/>
        <w:topLinePunct w:val="0"/>
        <w:autoSpaceDE/>
        <w:autoSpaceDN/>
        <w:bidi w:val="0"/>
        <w:adjustRightInd/>
        <w:snapToGrid/>
        <w:spacing w:line="560" w:lineRule="atLeas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5.</w:t>
      </w:r>
      <w:r>
        <w:rPr>
          <w:rFonts w:hint="eastAsia" w:ascii="宋体" w:hAnsi="宋体" w:eastAsia="宋体" w:cs="宋体"/>
          <w:sz w:val="24"/>
          <w:szCs w:val="24"/>
          <w:highlight w:val="none"/>
        </w:rPr>
        <w:t>未被列入“信用中国 ”网站(www.creditchina.gov.cn)失信被执行人名单、 重大税收违法案件当事人名单和中国政府采购网(www.ccgp.gov.cn)政府采购严重违法失信行为记录名单；</w:t>
      </w:r>
    </w:p>
    <w:p w14:paraId="70A0D000">
      <w:pPr>
        <w:keepNext w:val="0"/>
        <w:keepLines w:val="0"/>
        <w:pageBreakBefore w:val="0"/>
        <w:kinsoku/>
        <w:wordWrap/>
        <w:overflowPunct/>
        <w:topLinePunct w:val="0"/>
        <w:autoSpaceDE/>
        <w:autoSpaceDN/>
        <w:bidi w:val="0"/>
        <w:adjustRightInd/>
        <w:snapToGrid/>
        <w:spacing w:line="560" w:lineRule="atLeast"/>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6.</w:t>
      </w:r>
      <w:r>
        <w:rPr>
          <w:rFonts w:hint="eastAsia" w:ascii="宋体" w:hAnsi="宋体" w:eastAsia="宋体" w:cs="宋体"/>
          <w:sz w:val="24"/>
          <w:szCs w:val="24"/>
        </w:rPr>
        <w:t>本项目不接受联合体投标；</w:t>
      </w:r>
    </w:p>
    <w:p w14:paraId="2AB2DBF0">
      <w:pPr>
        <w:keepNext w:val="0"/>
        <w:keepLines w:val="0"/>
        <w:pageBreakBefore w:val="0"/>
        <w:kinsoku/>
        <w:wordWrap/>
        <w:overflowPunct/>
        <w:topLinePunct w:val="0"/>
        <w:autoSpaceDE/>
        <w:autoSpaceDN/>
        <w:bidi w:val="0"/>
        <w:adjustRightInd/>
        <w:snapToGrid/>
        <w:spacing w:line="560" w:lineRule="atLeast"/>
        <w:ind w:firstLine="480" w:firstLineChars="200"/>
        <w:rPr>
          <w:rFonts w:asciiTheme="minorEastAsia" w:hAnsiTheme="minorEastAsia"/>
          <w:sz w:val="24"/>
          <w:szCs w:val="24"/>
        </w:rPr>
      </w:pPr>
      <w:r>
        <w:rPr>
          <w:rFonts w:hint="eastAsia" w:ascii="宋体" w:hAnsi="宋体" w:eastAsia="宋体" w:cs="宋体"/>
          <w:sz w:val="24"/>
          <w:szCs w:val="24"/>
          <w:lang w:val="en-US" w:eastAsia="zh-CN"/>
        </w:rPr>
        <w:t>7.</w:t>
      </w:r>
      <w:r>
        <w:rPr>
          <w:rFonts w:hint="eastAsia" w:asciiTheme="minorEastAsia" w:hAnsiTheme="minorEastAsia"/>
          <w:sz w:val="24"/>
          <w:szCs w:val="24"/>
        </w:rPr>
        <w:t>有相关的经营范围。</w:t>
      </w:r>
    </w:p>
    <w:p w14:paraId="51499FE6">
      <w:pPr>
        <w:keepNext w:val="0"/>
        <w:keepLines w:val="0"/>
        <w:pageBreakBefore w:val="0"/>
        <w:kinsoku/>
        <w:wordWrap/>
        <w:overflowPunct/>
        <w:topLinePunct w:val="0"/>
        <w:autoSpaceDE/>
        <w:autoSpaceDN/>
        <w:bidi w:val="0"/>
        <w:adjustRightInd/>
        <w:snapToGrid/>
        <w:spacing w:line="560" w:lineRule="atLeast"/>
        <w:ind w:firstLine="480" w:firstLineChars="200"/>
        <w:rPr>
          <w:rFonts w:hint="eastAsia" w:ascii="宋体" w:hAnsi="宋体" w:eastAsia="宋体" w:cs="宋体"/>
          <w:sz w:val="24"/>
          <w:szCs w:val="24"/>
          <w:lang w:val="en-US" w:eastAsia="zh-CN"/>
        </w:rPr>
      </w:pPr>
    </w:p>
    <w:p w14:paraId="0632E454">
      <w:pPr>
        <w:keepNext w:val="0"/>
        <w:keepLines w:val="0"/>
        <w:pageBreakBefore w:val="0"/>
        <w:kinsoku/>
        <w:wordWrap/>
        <w:overflowPunct/>
        <w:topLinePunct w:val="0"/>
        <w:autoSpaceDE/>
        <w:autoSpaceDN/>
        <w:bidi w:val="0"/>
        <w:adjustRightInd/>
        <w:snapToGrid/>
        <w:spacing w:line="560" w:lineRule="atLeast"/>
        <w:rPr>
          <w:rFonts w:hint="eastAsia" w:ascii="宋体" w:hAnsi="宋体" w:eastAsia="宋体" w:cs="宋体"/>
          <w:sz w:val="24"/>
          <w:szCs w:val="24"/>
        </w:rPr>
      </w:pPr>
    </w:p>
    <w:p w14:paraId="364E15B7">
      <w:pPr>
        <w:keepNext w:val="0"/>
        <w:keepLines w:val="0"/>
        <w:pageBreakBefore w:val="0"/>
        <w:kinsoku/>
        <w:wordWrap/>
        <w:overflowPunct/>
        <w:topLinePunct w:val="0"/>
        <w:autoSpaceDE/>
        <w:autoSpaceDN/>
        <w:bidi w:val="0"/>
        <w:adjustRightInd/>
        <w:snapToGrid/>
        <w:spacing w:line="560" w:lineRule="atLeast"/>
        <w:rPr>
          <w:rFonts w:hint="eastAsia" w:ascii="宋体" w:hAnsi="宋体" w:eastAsia="宋体" w:cs="宋体"/>
          <w:b/>
          <w:bCs/>
          <w:sz w:val="24"/>
          <w:szCs w:val="24"/>
        </w:rPr>
      </w:pPr>
      <w:r>
        <w:rPr>
          <w:rFonts w:hint="eastAsia" w:ascii="宋体" w:hAnsi="宋体" w:eastAsia="宋体" w:cs="宋体"/>
          <w:b/>
          <w:bCs/>
          <w:sz w:val="24"/>
          <w:szCs w:val="24"/>
        </w:rPr>
        <w:t>二、采购项目建设方案，需实现的功能或目标</w:t>
      </w:r>
    </w:p>
    <w:p w14:paraId="3718B285">
      <w:pPr>
        <w:keepNext w:val="0"/>
        <w:keepLines w:val="0"/>
        <w:pageBreakBefore w:val="0"/>
        <w:kinsoku/>
        <w:wordWrap/>
        <w:overflowPunct/>
        <w:topLinePunct w:val="0"/>
        <w:autoSpaceDE/>
        <w:autoSpaceDN/>
        <w:bidi w:val="0"/>
        <w:adjustRightInd/>
        <w:snapToGrid/>
        <w:spacing w:line="560" w:lineRule="atLeast"/>
        <w:ind w:left="45" w:right="160" w:firstLine="460"/>
        <w:rPr>
          <w:rFonts w:hint="eastAsia" w:ascii="宋体" w:hAnsi="宋体" w:eastAsia="宋体" w:cs="宋体"/>
          <w:sz w:val="24"/>
          <w:szCs w:val="24"/>
          <w:highlight w:val="none"/>
        </w:rPr>
      </w:pPr>
      <w:r>
        <w:rPr>
          <w:rFonts w:hint="eastAsia" w:ascii="宋体" w:hAnsi="宋体" w:eastAsia="宋体" w:cs="宋体"/>
          <w:sz w:val="24"/>
          <w:szCs w:val="24"/>
          <w:lang w:val="en-US" w:eastAsia="zh-CN"/>
        </w:rPr>
        <w:t>本次采购项目主要包含</w:t>
      </w:r>
      <w:r>
        <w:rPr>
          <w:rFonts w:hint="eastAsia" w:ascii="宋体" w:hAnsi="宋体" w:eastAsia="宋体" w:cs="宋体"/>
          <w:color w:val="auto"/>
          <w:sz w:val="24"/>
          <w:szCs w:val="24"/>
          <w:lang w:val="en-US" w:eastAsia="zh-CN"/>
        </w:rPr>
        <w:t>松江校区西门（龙城路—文贸路大门，下同）人脸识别速通门设备</w:t>
      </w:r>
      <w:r>
        <w:rPr>
          <w:rFonts w:hint="eastAsia" w:ascii="宋体" w:hAnsi="宋体" w:eastAsia="宋体" w:cs="宋体"/>
          <w:sz w:val="24"/>
          <w:szCs w:val="24"/>
          <w:lang w:val="en-US" w:eastAsia="zh-CN"/>
        </w:rPr>
        <w:t>，</w:t>
      </w:r>
      <w:r>
        <w:rPr>
          <w:rFonts w:hint="eastAsia" w:ascii="宋体" w:hAnsi="宋体" w:eastAsia="宋体" w:cs="宋体"/>
          <w:sz w:val="24"/>
          <w:szCs w:val="24"/>
          <w:highlight w:val="none"/>
        </w:rPr>
        <w:t>包括以下内容：</w:t>
      </w:r>
    </w:p>
    <w:p w14:paraId="1A9FFB71">
      <w:pPr>
        <w:keepNext w:val="0"/>
        <w:keepLines w:val="0"/>
        <w:pageBreakBefore w:val="0"/>
        <w:kinsoku/>
        <w:wordWrap/>
        <w:overflowPunct/>
        <w:topLinePunct w:val="0"/>
        <w:autoSpaceDE/>
        <w:autoSpaceDN/>
        <w:bidi w:val="0"/>
        <w:adjustRightInd/>
        <w:snapToGrid/>
        <w:spacing w:line="560" w:lineRule="atLeast"/>
        <w:ind w:right="160" w:firstLine="480" w:firstLineChars="200"/>
        <w:rPr>
          <w:rFonts w:hint="eastAsia" w:ascii="宋体" w:hAnsi="宋体" w:eastAsia="宋体" w:cs="宋体"/>
          <w:color w:val="auto"/>
          <w:sz w:val="24"/>
          <w:szCs w:val="24"/>
          <w:lang w:val="en-US" w:eastAsia="zh-CN"/>
        </w:rPr>
      </w:pPr>
      <w:r>
        <w:rPr>
          <w:rFonts w:hint="eastAsia" w:ascii="宋体" w:hAnsi="宋体" w:eastAsia="宋体" w:cs="宋体"/>
          <w:sz w:val="24"/>
          <w:szCs w:val="24"/>
          <w:lang w:val="en-US" w:eastAsia="zh-CN"/>
        </w:rPr>
        <w:t>在松江校区西门建设4通道人行闸机，</w:t>
      </w:r>
      <w:r>
        <w:rPr>
          <w:rFonts w:hint="eastAsia" w:ascii="宋体" w:hAnsi="宋体" w:eastAsia="宋体" w:cs="宋体"/>
          <w:color w:val="auto"/>
          <w:sz w:val="24"/>
          <w:szCs w:val="24"/>
          <w:lang w:val="en-US" w:eastAsia="zh-CN"/>
        </w:rPr>
        <w:t>通过刷脸、刷卡方式入校，实现人员身份精准核验、出入权限严格管控、通行记录实时可查、外来人员规范管理，有效提升校门通行效率与安防管控水平，保障校园出入安全与秩序。</w:t>
      </w:r>
    </w:p>
    <w:p w14:paraId="1B35F2F4">
      <w:pPr>
        <w:keepNext w:val="0"/>
        <w:keepLines w:val="0"/>
        <w:pageBreakBefore w:val="0"/>
        <w:kinsoku/>
        <w:wordWrap/>
        <w:overflowPunct/>
        <w:topLinePunct w:val="0"/>
        <w:autoSpaceDE/>
        <w:autoSpaceDN/>
        <w:bidi w:val="0"/>
        <w:adjustRightInd/>
        <w:snapToGrid/>
        <w:spacing w:line="560" w:lineRule="atLeast"/>
        <w:rPr>
          <w:rFonts w:hint="eastAsia" w:ascii="宋体" w:hAnsi="宋体" w:eastAsia="宋体" w:cs="宋体"/>
          <w:sz w:val="24"/>
          <w:szCs w:val="24"/>
        </w:rPr>
      </w:pPr>
    </w:p>
    <w:p w14:paraId="6BE68364">
      <w:pPr>
        <w:keepNext w:val="0"/>
        <w:keepLines w:val="0"/>
        <w:pageBreakBefore w:val="0"/>
        <w:kinsoku/>
        <w:wordWrap/>
        <w:overflowPunct/>
        <w:topLinePunct w:val="0"/>
        <w:autoSpaceDE/>
        <w:autoSpaceDN/>
        <w:bidi w:val="0"/>
        <w:adjustRightInd/>
        <w:snapToGrid/>
        <w:spacing w:line="560" w:lineRule="atLeast"/>
        <w:rPr>
          <w:rFonts w:hint="eastAsia" w:ascii="宋体" w:hAnsi="宋体" w:eastAsia="宋体" w:cs="宋体"/>
          <w:b/>
          <w:bCs/>
          <w:sz w:val="24"/>
          <w:szCs w:val="24"/>
        </w:rPr>
      </w:pPr>
      <w:r>
        <w:rPr>
          <w:rFonts w:hint="eastAsia" w:ascii="宋体" w:hAnsi="宋体" w:eastAsia="宋体" w:cs="宋体"/>
          <w:b/>
          <w:bCs/>
          <w:sz w:val="24"/>
          <w:szCs w:val="24"/>
        </w:rPr>
        <w:t>三、采购项目建设需满足的技术规格要求</w:t>
      </w:r>
    </w:p>
    <w:p w14:paraId="28EE7389">
      <w:pPr>
        <w:spacing w:line="360" w:lineRule="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1、</w:t>
      </w:r>
      <w:r>
        <w:rPr>
          <w:rFonts w:hint="eastAsia" w:ascii="宋体" w:hAnsi="宋体" w:eastAsia="宋体" w:cs="宋体"/>
          <w:sz w:val="24"/>
          <w:szCs w:val="24"/>
        </w:rPr>
        <w:t>技术规格</w:t>
      </w:r>
    </w:p>
    <w:tbl>
      <w:tblPr>
        <w:tblStyle w:val="11"/>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638"/>
        <w:gridCol w:w="1949"/>
        <w:gridCol w:w="5935"/>
      </w:tblGrid>
      <w:tr w14:paraId="71A714A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trPr>
        <w:tc>
          <w:tcPr>
            <w:tcW w:w="2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606CBA">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序号</w:t>
            </w:r>
          </w:p>
        </w:tc>
        <w:tc>
          <w:tcPr>
            <w:tcW w:w="9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9B23BE">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设备名称</w:t>
            </w:r>
          </w:p>
        </w:tc>
        <w:tc>
          <w:tcPr>
            <w:tcW w:w="38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122390">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参数</w:t>
            </w:r>
          </w:p>
        </w:tc>
      </w:tr>
      <w:tr w14:paraId="23C9796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trPr>
        <w:tc>
          <w:tcPr>
            <w:tcW w:w="2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D46A2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9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187E0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人员通道单边机</w:t>
            </w:r>
          </w:p>
        </w:tc>
        <w:tc>
          <w:tcPr>
            <w:tcW w:w="383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1AA8571">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通行模式：设备支持进出方向通行状态（受控、常开、常闭、感应、无障碍）的灵活配置</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交叉通行：一方通行后在未关门前对向认证通过，门翼保持不动，由对向人员通行结束门翼再关闭；</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自动复位：设备具有自动复位功能，开门后在规定的时间内未通行，系统将自动取消用户的本次通行的权限，可设定通行时间；</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记忆模式：设备支持记忆模式，可实现连续快速通行；</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消防联动：设备具有消防联动接口，当消防信号触发时，门翼自动打开，快速引导人员疏散；</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断电通行：设备标配超级电容，断电时门翼自动打开，人员可自由通行，防止恐慌； </w:t>
            </w:r>
            <w:r>
              <w:rPr>
                <w:rFonts w:hint="eastAsia" w:ascii="宋体" w:hAnsi="宋体" w:eastAsia="宋体" w:cs="宋体"/>
                <w:i w:val="0"/>
                <w:iCs w:val="0"/>
                <w:color w:val="000000"/>
                <w:kern w:val="0"/>
                <w:sz w:val="21"/>
                <w:szCs w:val="21"/>
                <w:u w:val="none"/>
                <w:lang w:val="en-US" w:eastAsia="zh-CN" w:bidi="ar"/>
              </w:rPr>
              <w:br w:type="textWrapping"/>
            </w:r>
            <w:r>
              <w:rPr>
                <w:rStyle w:val="26"/>
                <w:rFonts w:hint="eastAsia" w:ascii="宋体" w:hAnsi="宋体" w:eastAsia="宋体" w:cs="宋体"/>
                <w:sz w:val="21"/>
                <w:szCs w:val="21"/>
                <w:lang w:val="en-US" w:eastAsia="zh-CN" w:bidi="ar"/>
              </w:rPr>
              <w:t>▲设备应具有雷达探测防夹功能、防尾随功能（提供公安部或具有cma及cnas封面标识的检测报告）；</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防冲撞：设备具备防冲撞功能，在没有接收到开门信号时，若受到不超过120N•m的冲击力，门翼保持锁止状态；</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人数统计：设备支持人数统计功能配置，可实时获取设备进出方向总人数；</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人机互动：设备支持通道指示灯、门翼灯，支持认证结果语音自定义</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电机类型：无刷直流伺服电机</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设备容量：支持≥50万人员，50万卡，50万事件</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认证方式：内置IC卡读卡器</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产品尺寸：1500mm×130mm×1000mm;</w:t>
            </w:r>
            <w:r>
              <w:rPr>
                <w:rFonts w:hint="eastAsia" w:ascii="宋体" w:hAnsi="宋体" w:eastAsia="宋体" w:cs="宋体"/>
                <w:i w:val="0"/>
                <w:iCs w:val="0"/>
                <w:color w:val="000000"/>
                <w:kern w:val="0"/>
                <w:sz w:val="21"/>
                <w:szCs w:val="21"/>
                <w:u w:val="none"/>
                <w:lang w:val="en-US" w:eastAsia="zh-CN" w:bidi="ar"/>
              </w:rPr>
              <w:br w:type="textWrapping"/>
            </w:r>
            <w:r>
              <w:rPr>
                <w:rStyle w:val="26"/>
                <w:rFonts w:hint="eastAsia" w:ascii="宋体" w:hAnsi="宋体" w:eastAsia="宋体" w:cs="宋体"/>
                <w:sz w:val="21"/>
                <w:szCs w:val="21"/>
                <w:lang w:val="en-US" w:eastAsia="zh-CN" w:bidi="ar"/>
              </w:rPr>
              <w:t>▲闸机机身采用不锈钢材质，不锈钢板材厚度应≥1.5mm（提供公安部或具有cma及cnas封面标识的检测报告）；</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门翼材质：亚克力;不锈钢;其中亚克力厚度10mm</w:t>
            </w:r>
            <w:r>
              <w:rPr>
                <w:rFonts w:hint="eastAsia" w:ascii="宋体" w:hAnsi="宋体" w:eastAsia="宋体" w:cs="宋体"/>
                <w:i w:val="0"/>
                <w:iCs w:val="0"/>
                <w:color w:val="000000"/>
                <w:kern w:val="0"/>
                <w:sz w:val="21"/>
                <w:szCs w:val="21"/>
                <w:u w:val="none"/>
                <w:lang w:val="en-US" w:eastAsia="zh-CN" w:bidi="ar"/>
              </w:rPr>
              <w:br w:type="textWrapping"/>
            </w:r>
            <w:r>
              <w:rPr>
                <w:rStyle w:val="26"/>
                <w:rFonts w:hint="eastAsia" w:ascii="宋体" w:hAnsi="宋体" w:eastAsia="宋体" w:cs="宋体"/>
                <w:sz w:val="21"/>
                <w:szCs w:val="21"/>
                <w:lang w:val="en-US" w:eastAsia="zh-CN" w:bidi="ar"/>
              </w:rPr>
              <w:t>▲通行速率：每分钟最大通信人数≥60人，受人员情况和通行模式影响（提供公安部或具有cma及cnas封面标识的检测报告）；</w:t>
            </w:r>
          </w:p>
        </w:tc>
      </w:tr>
      <w:tr w14:paraId="691E3BA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trPr>
        <w:tc>
          <w:tcPr>
            <w:tcW w:w="2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6D169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9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07ACE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人员通道双边机</w:t>
            </w:r>
          </w:p>
        </w:tc>
        <w:tc>
          <w:tcPr>
            <w:tcW w:w="383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CBF2A58">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通行模式：设备支持进出方向通行状态（受控、常开、常闭、感应、无障碍）的灵活配置</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交叉通行：一方通行后在未关门前对向认证通过，门翼保持不动，由对向人员通行结束门翼再关闭；</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自动复位：设备具有自动复位功能，开门后在规定的时间内未通行，系统将自动取消用户的本次通行的权限，可设定通行时间；</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记忆模式：设备支持记忆模式，可实现连续快速通行；</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消防联动：设备具有消防联动接口，当消防信号触发时，门翼自动打开，快速引导人员疏散；</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断电通行：设备标配超级电容，断电时门翼自动打开，人员可自由通行，防止恐慌； </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设备应具有雷达探测防夹功能、防尾随功能；</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防冲撞：设备具备防冲撞功能，在没有接收到开门信号时，若受到不超过120N•m的冲击力，门翼保持锁止状态；</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人数统计：设备支持人数统计功能配置，可实时获取设备进出方向总人数；</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人机互动：设备支持通道指示灯、门翼灯，支持认证结果语音自定义</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电机类型：无刷直流伺服电机</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设备容量：支持≥50万人员，50万卡，50万事件</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认证方式：内置IC卡读卡器</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产品尺寸：1500mm×130mm×1000mm;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闸机机身采用不锈钢材质，不锈钢板材厚度应≥1.5mm；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门翼材质：亚克力;不锈钢;其中亚克力厚度10mm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通行速率：每分钟最大通信人数≥60人，受人员情况和通行模式影响；</w:t>
            </w:r>
          </w:p>
        </w:tc>
      </w:tr>
      <w:tr w14:paraId="440C981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trPr>
        <w:tc>
          <w:tcPr>
            <w:tcW w:w="2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DD88B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w:t>
            </w:r>
          </w:p>
        </w:tc>
        <w:tc>
          <w:tcPr>
            <w:tcW w:w="9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F6CC7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人脸识别一体机</w:t>
            </w:r>
          </w:p>
        </w:tc>
        <w:tc>
          <w:tcPr>
            <w:tcW w:w="383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1A1F4EF">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操作系统：嵌入式Linux操作系统；</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屏幕参数： ≥7英寸触摸显示屏，屏幕比例9:16，屏幕分辨率≥600*1024；</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摄像头参数：≥采用宽动态200万双目摄像头；</w:t>
            </w:r>
            <w:r>
              <w:rPr>
                <w:rFonts w:hint="eastAsia" w:ascii="宋体" w:hAnsi="宋体" w:eastAsia="宋体" w:cs="宋体"/>
                <w:i w:val="0"/>
                <w:iCs w:val="0"/>
                <w:color w:val="000000"/>
                <w:kern w:val="0"/>
                <w:sz w:val="21"/>
                <w:szCs w:val="21"/>
                <w:u w:val="none"/>
                <w:lang w:val="en-US" w:eastAsia="zh-CN" w:bidi="ar"/>
              </w:rPr>
              <w:br w:type="textWrapping"/>
            </w:r>
            <w:r>
              <w:rPr>
                <w:rStyle w:val="26"/>
                <w:rFonts w:hint="eastAsia" w:ascii="宋体" w:hAnsi="宋体" w:eastAsia="宋体" w:cs="宋体"/>
                <w:sz w:val="21"/>
                <w:szCs w:val="21"/>
                <w:lang w:val="en-US" w:eastAsia="zh-CN" w:bidi="ar"/>
              </w:rPr>
              <w:t>▲支持在 0.001lux 低照度无补光环境下正常实现人脸验证，可在强光、逆光、暗光环境条件的人脸验证（提供公安部或具有cma及cnas封面标识的检测报告）；</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认证方式：支持人脸、刷卡（IC卡、手机NFC卡、CPU卡序列号/内容、身份证卡序列号）、密码认证方式，可外接身份证、指纹、蓝牙、二维码功能模块；</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人脸验证：采用深度学习算法，支持单人或多人识别（最多5人同时认证）功能；支持照片、视频防假；1:N人脸验证速度≤0.2s，人脸验证准确率≥99%；</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声纹识别：采用深度学习算法，支持动态数字声纹口令（声纹仅支持组合认证）；1:1声纹识别速度≤0.5s，验证准确率≥99%；</w:t>
            </w:r>
            <w:r>
              <w:rPr>
                <w:rFonts w:hint="eastAsia" w:ascii="宋体" w:hAnsi="宋体" w:eastAsia="宋体" w:cs="宋体"/>
                <w:i w:val="0"/>
                <w:iCs w:val="0"/>
                <w:color w:val="000000"/>
                <w:kern w:val="0"/>
                <w:sz w:val="21"/>
                <w:szCs w:val="21"/>
                <w:u w:val="none"/>
                <w:lang w:val="en-US" w:eastAsia="zh-CN" w:bidi="ar"/>
              </w:rPr>
              <w:br w:type="textWrapping"/>
            </w:r>
            <w:r>
              <w:rPr>
                <w:rStyle w:val="26"/>
                <w:rFonts w:hint="eastAsia" w:ascii="宋体" w:hAnsi="宋体" w:eastAsia="宋体" w:cs="宋体"/>
                <w:sz w:val="21"/>
                <w:szCs w:val="21"/>
                <w:lang w:val="en-US" w:eastAsia="zh-CN" w:bidi="ar"/>
              </w:rPr>
              <w:t>▲设备离线应支持≥100000个用户、100000 张人脸库、100000 张卡片容量、150000 笔记录存储（提供公安部或具有cma及cnas封面标识的检测报告）；</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硬件接口：≥LAN*1、RS485*1、Wiegand * 1(支持双向)、typeC类型USB接口*1、电锁*1、门磁*1、报警输入*2、报警输出*1、开门按钮*1、SD卡槽*1、3.5mm音频输出接口*1；</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通信方式及网络协议：有线网络、WiFi；</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使用环境：IP65，室内外环境；</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工作电压： DC12V~24V/2A；</w:t>
            </w:r>
          </w:p>
        </w:tc>
      </w:tr>
      <w:tr w14:paraId="7BA95FB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2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D3FF6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9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4C008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身份证识别终端</w:t>
            </w:r>
          </w:p>
        </w:tc>
        <w:tc>
          <w:tcPr>
            <w:tcW w:w="383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646DF40">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身份证+蓝牙模块</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支持USB通信，通过USB插入设备底部，实现识别方式扩展</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扩展功能模块，模块支持热插拔</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支持USB插入设备后，支持身份证识别，实现人证比对</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支持USB插入后，支持蓝牙开门</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USB：1个Type C </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安装方式：通过USB尾插至设备</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使用环境：室内外</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材质：塑料+玻璃</w:t>
            </w:r>
          </w:p>
        </w:tc>
      </w:tr>
      <w:tr w14:paraId="04E6C2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2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5573B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w:t>
            </w:r>
          </w:p>
        </w:tc>
        <w:tc>
          <w:tcPr>
            <w:tcW w:w="9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7995F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闸机支架</w:t>
            </w:r>
          </w:p>
        </w:tc>
        <w:tc>
          <w:tcPr>
            <w:tcW w:w="383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111EAF0">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造型美观：铝合金喷塑材质，从底部出线方式，避免飞线影响美观。</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安装便捷：搭配人脸验证一体机或组件，可通过螺丝固定，稳定放置于人员通道上。</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角度可调节：可现场调节识别设备15°仰角或垂直角度。</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使用场景：室内外均可使用。</w:t>
            </w:r>
          </w:p>
        </w:tc>
      </w:tr>
      <w:tr w14:paraId="49501A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2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1B2BD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w:t>
            </w:r>
          </w:p>
        </w:tc>
        <w:tc>
          <w:tcPr>
            <w:tcW w:w="9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28E94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遮阳罩</w:t>
            </w:r>
          </w:p>
        </w:tc>
        <w:tc>
          <w:tcPr>
            <w:tcW w:w="383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42084D">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造型美观、安装便捷，为人脸门禁一体机遮阳使用。</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人脸门禁一体机室外使用时，必须搭配遮阳罩。 </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使用环境：室内室外 </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安装方式：卡扣式安装</w:t>
            </w:r>
          </w:p>
        </w:tc>
      </w:tr>
      <w:tr w14:paraId="729D611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trPr>
        <w:tc>
          <w:tcPr>
            <w:tcW w:w="2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8A7CB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w:t>
            </w:r>
          </w:p>
        </w:tc>
        <w:tc>
          <w:tcPr>
            <w:tcW w:w="9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C7B63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24口POE传输终端</w:t>
            </w:r>
          </w:p>
        </w:tc>
        <w:tc>
          <w:tcPr>
            <w:tcW w:w="383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8BB20D5">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交换容量≥396Gbps/3.96Tbps，包转发率≥252Mpps；</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单台配置≥24个千兆电口，≥2个千兆/百兆自适应SFP光口，≥1个Consle端口；</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支持标准的POE/POE+功能，整机POE功率≥400W；</w:t>
            </w:r>
            <w:r>
              <w:rPr>
                <w:rFonts w:hint="eastAsia" w:ascii="宋体" w:hAnsi="宋体" w:eastAsia="宋体" w:cs="宋体"/>
                <w:i w:val="0"/>
                <w:iCs w:val="0"/>
                <w:color w:val="000000"/>
                <w:kern w:val="0"/>
                <w:sz w:val="21"/>
                <w:szCs w:val="21"/>
                <w:u w:val="none"/>
                <w:lang w:val="en-US" w:eastAsia="zh-CN" w:bidi="ar"/>
              </w:rPr>
              <w:br w:type="textWrapping"/>
            </w:r>
            <w:r>
              <w:rPr>
                <w:rStyle w:val="26"/>
                <w:rFonts w:hint="eastAsia" w:ascii="宋体" w:hAnsi="宋体" w:eastAsia="宋体" w:cs="宋体"/>
                <w:sz w:val="21"/>
                <w:szCs w:val="21"/>
                <w:lang w:val="en-US" w:eastAsia="zh-CN" w:bidi="ar"/>
              </w:rPr>
              <w:t>▲设备支持划分虚拟局域网功能（提供公安部或具有cma及cnas封面标识的检测报告）；</w:t>
            </w:r>
            <w:r>
              <w:rPr>
                <w:rFonts w:hint="eastAsia" w:ascii="宋体" w:hAnsi="宋体" w:eastAsia="宋体" w:cs="宋体"/>
                <w:i w:val="0"/>
                <w:iCs w:val="0"/>
                <w:color w:val="000000"/>
                <w:kern w:val="0"/>
                <w:sz w:val="21"/>
                <w:szCs w:val="21"/>
                <w:u w:val="none"/>
                <w:lang w:val="en-US" w:eastAsia="zh-CN" w:bidi="ar"/>
              </w:rPr>
              <w:br w:type="textWrapping"/>
            </w:r>
            <w:r>
              <w:rPr>
                <w:rStyle w:val="26"/>
                <w:rFonts w:hint="eastAsia" w:ascii="宋体" w:hAnsi="宋体" w:eastAsia="宋体" w:cs="宋体"/>
                <w:sz w:val="21"/>
                <w:szCs w:val="21"/>
                <w:lang w:val="en-US" w:eastAsia="zh-CN" w:bidi="ar"/>
              </w:rPr>
              <w:t>▲为保障网络安全性，要求支持自主访问控制、管理员鉴别、管理员鉴别失败处理功能，（提供公安部或具有cma及cnas封面标识的检测报告）；</w:t>
            </w:r>
            <w:r>
              <w:rPr>
                <w:rFonts w:hint="eastAsia" w:ascii="宋体" w:hAnsi="宋体" w:eastAsia="宋体" w:cs="宋体"/>
                <w:i w:val="0"/>
                <w:iCs w:val="0"/>
                <w:color w:val="000000"/>
                <w:kern w:val="0"/>
                <w:sz w:val="21"/>
                <w:szCs w:val="21"/>
                <w:u w:val="none"/>
                <w:lang w:val="en-US" w:eastAsia="zh-CN" w:bidi="ar"/>
              </w:rPr>
              <w:br w:type="textWrapping"/>
            </w:r>
            <w:r>
              <w:rPr>
                <w:rStyle w:val="26"/>
                <w:rFonts w:hint="eastAsia" w:ascii="宋体" w:hAnsi="宋体" w:eastAsia="宋体" w:cs="宋体"/>
                <w:sz w:val="21"/>
                <w:szCs w:val="21"/>
                <w:lang w:val="en-US" w:eastAsia="zh-CN" w:bidi="ar"/>
              </w:rPr>
              <w:t>▲接地导体及其端子不得有过大的电阻，电阻≤0.1Ω（提供公安部或具有cma及cnas封面标识的检测报告）；</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支持Console、Telnet、SSH等多种管理方式。</w:t>
            </w:r>
          </w:p>
        </w:tc>
      </w:tr>
      <w:tr w14:paraId="1044180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trPr>
        <w:tc>
          <w:tcPr>
            <w:tcW w:w="2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429F9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w:t>
            </w:r>
          </w:p>
        </w:tc>
        <w:tc>
          <w:tcPr>
            <w:tcW w:w="9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1C7E7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千兆传输模块</w:t>
            </w:r>
          </w:p>
        </w:tc>
        <w:tc>
          <w:tcPr>
            <w:tcW w:w="383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817E7C4">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速率：≥25G；</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波长：≥1310nm；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传输距离：≥10km；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接口：LC。</w:t>
            </w:r>
          </w:p>
        </w:tc>
      </w:tr>
      <w:tr w14:paraId="6EBDAD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2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1E819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w:t>
            </w:r>
          </w:p>
        </w:tc>
        <w:tc>
          <w:tcPr>
            <w:tcW w:w="9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630F2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6类防水网线</w:t>
            </w:r>
          </w:p>
        </w:tc>
        <w:tc>
          <w:tcPr>
            <w:tcW w:w="383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81D7DA9">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室外6类网线,Cat6非屏蔽双绞线,23AWG,工作温度为-20~60℃</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标准：符合ISO/IEC 11801、TIA-568-C.2、GB/T 18015.5要求,所用材料符合RoHS要求,性能指标优于现行6类线缆250MHz标准；</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标准装轴长度:305m±1.5m；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芯线规格:23AWG,无氧铜；</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线缆结构：4对8芯双绞线,每对之间采用十字骨架隔离，每芯均有颜色区分,外皮印有厂商标识及电缆编码，有撕裂绳；</w:t>
            </w:r>
          </w:p>
        </w:tc>
      </w:tr>
      <w:tr w14:paraId="0458024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trPr>
        <w:tc>
          <w:tcPr>
            <w:tcW w:w="2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710B4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w:t>
            </w:r>
          </w:p>
        </w:tc>
        <w:tc>
          <w:tcPr>
            <w:tcW w:w="9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E98A4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室外落地箱</w:t>
            </w:r>
          </w:p>
        </w:tc>
        <w:tc>
          <w:tcPr>
            <w:tcW w:w="383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F96CFA">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尺寸：600×600×450mm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材质：304不锈钢</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厚度：≧1.2mm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含基础、空开、导轨、接线排等</w:t>
            </w:r>
          </w:p>
        </w:tc>
      </w:tr>
      <w:tr w14:paraId="008460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2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71F32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w:t>
            </w:r>
          </w:p>
        </w:tc>
        <w:tc>
          <w:tcPr>
            <w:tcW w:w="9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96855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电源线</w:t>
            </w:r>
          </w:p>
        </w:tc>
        <w:tc>
          <w:tcPr>
            <w:tcW w:w="383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23AFA78">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规格：RVV3×2.5</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线体外径：10.2mm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导体：99.99%纯无氧铜制造，铜线外表光亮，由于电阻率低，传导效率高</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额定电压：300V/500V。</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绝缘：聚氯乙烯混合料（PVC）。</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护套：柔性聚氯乙烯混合料（PVC），黑色（RAL7001）</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绝缘电阻：&gt;200M欧姆×KM。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使用温度：-30~ +70℃。</w:t>
            </w:r>
          </w:p>
        </w:tc>
      </w:tr>
      <w:tr w14:paraId="2A76138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2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4FA68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w:t>
            </w:r>
          </w:p>
        </w:tc>
        <w:tc>
          <w:tcPr>
            <w:tcW w:w="9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E977A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隔离栏</w:t>
            </w:r>
          </w:p>
        </w:tc>
        <w:tc>
          <w:tcPr>
            <w:tcW w:w="383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D28AACA">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护栏高度0.6m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颜色：白色</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材质：热镀锌钢管</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表面处理：喷塑</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壁厚：1.5mm</w:t>
            </w:r>
          </w:p>
        </w:tc>
      </w:tr>
    </w:tbl>
    <w:p w14:paraId="1755132B">
      <w:pPr>
        <w:keepNext w:val="0"/>
        <w:keepLines w:val="0"/>
        <w:pageBreakBefore w:val="0"/>
        <w:kinsoku/>
        <w:wordWrap/>
        <w:overflowPunct/>
        <w:topLinePunct w:val="0"/>
        <w:autoSpaceDE/>
        <w:autoSpaceDN/>
        <w:bidi w:val="0"/>
        <w:adjustRightInd/>
        <w:snapToGrid/>
        <w:spacing w:line="560" w:lineRule="atLeast"/>
        <w:rPr>
          <w:rFonts w:hint="eastAsia" w:ascii="宋体" w:hAnsi="宋体" w:eastAsia="宋体" w:cs="宋体"/>
          <w:b/>
          <w:bCs/>
          <w:sz w:val="22"/>
          <w:szCs w:val="22"/>
          <w:highlight w:val="none"/>
          <w:lang w:val="en-US" w:eastAsia="zh-CN"/>
        </w:rPr>
      </w:pPr>
      <w:r>
        <w:rPr>
          <w:rFonts w:hint="eastAsia" w:ascii="宋体" w:hAnsi="宋体" w:eastAsia="宋体" w:cs="宋体"/>
          <w:b/>
          <w:bCs/>
          <w:sz w:val="22"/>
          <w:szCs w:val="22"/>
          <w:highlight w:val="none"/>
          <w:lang w:val="en-US" w:eastAsia="zh-CN"/>
        </w:rPr>
        <w:t>注明：1.投标人在中标后需提供相应设备的检测报告和设备原厂授权证明才可签订合同。</w:t>
      </w:r>
    </w:p>
    <w:p w14:paraId="3FF59C8D">
      <w:pPr>
        <w:pStyle w:val="2"/>
        <w:numPr>
          <w:numId w:val="0"/>
        </w:numPr>
        <w:rPr>
          <w:rFonts w:hint="eastAsia" w:ascii="宋体" w:hAnsi="宋体" w:eastAsia="宋体" w:cs="宋体"/>
          <w:i w:val="0"/>
          <w:iCs w:val="0"/>
          <w:color w:val="000000"/>
          <w:kern w:val="0"/>
          <w:sz w:val="21"/>
          <w:szCs w:val="21"/>
          <w:highlight w:val="yellow"/>
          <w:u w:val="none"/>
          <w:lang w:val="en-US" w:eastAsia="zh-CN" w:bidi="ar"/>
        </w:rPr>
      </w:pPr>
      <w:r>
        <w:rPr>
          <w:rFonts w:hint="eastAsia" w:ascii="宋体" w:hAnsi="宋体" w:eastAsia="宋体" w:cs="宋体"/>
          <w:i w:val="0"/>
          <w:iCs w:val="0"/>
          <w:color w:val="000000"/>
          <w:kern w:val="0"/>
          <w:sz w:val="21"/>
          <w:szCs w:val="21"/>
          <w:highlight w:val="yellow"/>
          <w:u w:val="none"/>
          <w:lang w:val="en-US" w:eastAsia="zh-CN" w:bidi="ar"/>
        </w:rPr>
        <w:t>2.人员通道单边机、双边机和人脸识别一体机推荐品牌：海康、宇视、大华</w:t>
      </w:r>
    </w:p>
    <w:p w14:paraId="60101166">
      <w:pPr>
        <w:numPr>
          <w:numId w:val="0"/>
        </w:numPr>
        <w:rPr>
          <w:rFonts w:hint="default" w:ascii="宋体" w:hAnsi="宋体" w:eastAsia="宋体" w:cs="宋体"/>
          <w:b/>
          <w:bCs/>
          <w:i w:val="0"/>
          <w:iCs w:val="0"/>
          <w:color w:val="000000"/>
          <w:kern w:val="0"/>
          <w:sz w:val="21"/>
          <w:szCs w:val="21"/>
          <w:highlight w:val="yellow"/>
          <w:u w:val="none"/>
          <w:lang w:val="en-US" w:eastAsia="zh-CN" w:bidi="ar"/>
        </w:rPr>
      </w:pPr>
      <w:r>
        <w:rPr>
          <w:rFonts w:hint="eastAsia" w:ascii="宋体" w:hAnsi="宋体" w:eastAsia="宋体" w:cs="宋体"/>
          <w:b/>
          <w:bCs/>
          <w:i w:val="0"/>
          <w:iCs w:val="0"/>
          <w:color w:val="000000"/>
          <w:kern w:val="0"/>
          <w:sz w:val="21"/>
          <w:szCs w:val="21"/>
          <w:highlight w:val="yellow"/>
          <w:u w:val="none"/>
          <w:lang w:val="en-US" w:eastAsia="zh-CN" w:bidi="ar"/>
        </w:rPr>
        <w:t>3.24口POE传输终端推荐品牌：锐捷、华为、华三</w:t>
      </w:r>
    </w:p>
    <w:p w14:paraId="76DBA058">
      <w:pPr>
        <w:keepNext w:val="0"/>
        <w:keepLines w:val="0"/>
        <w:pageBreakBefore w:val="0"/>
        <w:numPr>
          <w:ilvl w:val="0"/>
          <w:numId w:val="0"/>
        </w:numPr>
        <w:kinsoku/>
        <w:wordWrap/>
        <w:overflowPunct/>
        <w:topLinePunct w:val="0"/>
        <w:autoSpaceDE/>
        <w:autoSpaceDN/>
        <w:bidi w:val="0"/>
        <w:adjustRightInd/>
        <w:snapToGrid/>
        <w:spacing w:line="560" w:lineRule="atLeast"/>
        <w:rPr>
          <w:rFonts w:hint="eastAsia" w:ascii="宋体" w:hAnsi="宋体" w:eastAsia="宋体" w:cs="宋体"/>
          <w:sz w:val="24"/>
          <w:szCs w:val="24"/>
        </w:rPr>
      </w:pPr>
      <w:bookmarkStart w:id="0" w:name="_GoBack"/>
      <w:bookmarkEnd w:id="0"/>
    </w:p>
    <w:p w14:paraId="6A044C4B">
      <w:pPr>
        <w:keepNext w:val="0"/>
        <w:keepLines w:val="0"/>
        <w:pageBreakBefore w:val="0"/>
        <w:widowControl w:val="0"/>
        <w:numPr>
          <w:ilvl w:val="0"/>
          <w:numId w:val="1"/>
        </w:numPr>
        <w:kinsoku/>
        <w:wordWrap/>
        <w:overflowPunct/>
        <w:topLinePunct w:val="0"/>
        <w:autoSpaceDE/>
        <w:autoSpaceDN/>
        <w:bidi w:val="0"/>
        <w:adjustRightInd/>
        <w:snapToGrid/>
        <w:spacing w:line="560" w:lineRule="atLeast"/>
        <w:textAlignment w:val="auto"/>
        <w:rPr>
          <w:rFonts w:hint="eastAsia" w:ascii="宋体" w:hAnsi="宋体" w:eastAsia="宋体" w:cs="宋体"/>
          <w:b/>
          <w:bCs/>
          <w:sz w:val="24"/>
          <w:szCs w:val="24"/>
        </w:rPr>
      </w:pPr>
      <w:r>
        <w:rPr>
          <w:rFonts w:hint="eastAsia" w:ascii="宋体" w:hAnsi="宋体" w:eastAsia="宋体" w:cs="宋体"/>
          <w:b/>
          <w:bCs/>
          <w:sz w:val="24"/>
          <w:szCs w:val="24"/>
        </w:rPr>
        <w:t>采购项目的明细数量、交付或实施时间、地点</w:t>
      </w:r>
      <w:r>
        <w:rPr>
          <w:rFonts w:hint="eastAsia" w:ascii="宋体" w:hAnsi="宋体" w:eastAsia="宋体" w:cs="宋体"/>
          <w:b/>
          <w:bCs/>
          <w:sz w:val="24"/>
          <w:szCs w:val="24"/>
          <w:lang w:eastAsia="zh-CN"/>
        </w:rPr>
        <w:t>、</w:t>
      </w:r>
      <w:r>
        <w:rPr>
          <w:rFonts w:hint="eastAsia" w:ascii="宋体" w:hAnsi="宋体" w:eastAsia="宋体" w:cs="宋体"/>
          <w:b/>
          <w:bCs/>
          <w:sz w:val="24"/>
          <w:szCs w:val="24"/>
          <w:lang w:val="en-US" w:eastAsia="zh-CN"/>
        </w:rPr>
        <w:t>质保</w:t>
      </w:r>
    </w:p>
    <w:p w14:paraId="34E05558">
      <w:pPr>
        <w:keepNext w:val="0"/>
        <w:keepLines w:val="0"/>
        <w:pageBreakBefore w:val="0"/>
        <w:widowControl w:val="0"/>
        <w:kinsoku/>
        <w:wordWrap/>
        <w:overflowPunct/>
        <w:topLinePunct w:val="0"/>
        <w:autoSpaceDE/>
        <w:autoSpaceDN/>
        <w:bidi w:val="0"/>
        <w:adjustRightInd/>
        <w:snapToGrid/>
        <w:spacing w:line="560" w:lineRule="atLeast"/>
        <w:ind w:firstLine="408"/>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1</w:t>
      </w:r>
      <w:r>
        <w:rPr>
          <w:rFonts w:hint="eastAsia" w:ascii="宋体" w:hAnsi="宋体" w:eastAsia="宋体" w:cs="宋体"/>
          <w:color w:val="000000" w:themeColor="text1"/>
          <w:sz w:val="24"/>
          <w:szCs w:val="24"/>
          <w:lang w:val="en-US" w:eastAsia="zh-CN"/>
          <w14:textFill>
            <w14:solidFill>
              <w14:schemeClr w14:val="tx1"/>
            </w14:solidFill>
          </w14:textFill>
        </w:rPr>
        <w:t>.</w:t>
      </w:r>
      <w:r>
        <w:rPr>
          <w:rFonts w:hint="eastAsia" w:ascii="宋体" w:hAnsi="宋体" w:eastAsia="宋体" w:cs="宋体"/>
          <w:color w:val="000000" w:themeColor="text1"/>
          <w:sz w:val="24"/>
          <w:szCs w:val="24"/>
          <w14:textFill>
            <w14:solidFill>
              <w14:schemeClr w14:val="tx1"/>
            </w14:solidFill>
          </w14:textFill>
        </w:rPr>
        <w:t>明细数量</w:t>
      </w:r>
    </w:p>
    <w:tbl>
      <w:tblPr>
        <w:tblStyle w:val="11"/>
        <w:tblW w:w="4849" w:type="pct"/>
        <w:tblInd w:w="254"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111"/>
        <w:gridCol w:w="4425"/>
        <w:gridCol w:w="1364"/>
        <w:gridCol w:w="1365"/>
      </w:tblGrid>
      <w:tr w14:paraId="5B4821F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6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A8A846">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序号</w:t>
            </w:r>
          </w:p>
        </w:tc>
        <w:tc>
          <w:tcPr>
            <w:tcW w:w="26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20B234">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设备名称</w:t>
            </w:r>
          </w:p>
        </w:tc>
        <w:tc>
          <w:tcPr>
            <w:tcW w:w="8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B05F74">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数量</w:t>
            </w:r>
          </w:p>
        </w:tc>
        <w:tc>
          <w:tcPr>
            <w:tcW w:w="8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F0F4D0">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单位</w:t>
            </w:r>
          </w:p>
        </w:tc>
      </w:tr>
      <w:tr w14:paraId="0400BFF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trPr>
        <w:tc>
          <w:tcPr>
            <w:tcW w:w="6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5ABC13">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26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A87301">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人员通道单边机</w:t>
            </w:r>
          </w:p>
        </w:tc>
        <w:tc>
          <w:tcPr>
            <w:tcW w:w="8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2AD3C5">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8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F5D06A">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台</w:t>
            </w:r>
          </w:p>
        </w:tc>
      </w:tr>
      <w:tr w14:paraId="537F468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trPr>
        <w:tc>
          <w:tcPr>
            <w:tcW w:w="6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4AC806">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26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351A81">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人员通道双边机</w:t>
            </w:r>
          </w:p>
        </w:tc>
        <w:tc>
          <w:tcPr>
            <w:tcW w:w="8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39459D">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8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300262">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台</w:t>
            </w:r>
          </w:p>
        </w:tc>
      </w:tr>
      <w:tr w14:paraId="133C5A2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trPr>
        <w:tc>
          <w:tcPr>
            <w:tcW w:w="6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972BF1">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26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782D9A">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人脸识别一体机</w:t>
            </w:r>
          </w:p>
        </w:tc>
        <w:tc>
          <w:tcPr>
            <w:tcW w:w="8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13C080">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w:t>
            </w:r>
          </w:p>
        </w:tc>
        <w:tc>
          <w:tcPr>
            <w:tcW w:w="8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FAC715">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台</w:t>
            </w:r>
          </w:p>
        </w:tc>
      </w:tr>
      <w:tr w14:paraId="5834FA4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trPr>
        <w:tc>
          <w:tcPr>
            <w:tcW w:w="6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DDEA1F">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w:t>
            </w:r>
          </w:p>
        </w:tc>
        <w:tc>
          <w:tcPr>
            <w:tcW w:w="26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254929">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身份证识别终端</w:t>
            </w:r>
          </w:p>
        </w:tc>
        <w:tc>
          <w:tcPr>
            <w:tcW w:w="8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260573">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8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3CA3A9">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台</w:t>
            </w:r>
          </w:p>
        </w:tc>
      </w:tr>
      <w:tr w14:paraId="73718BB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trPr>
        <w:tc>
          <w:tcPr>
            <w:tcW w:w="6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765B71">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26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79D94F">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闸机支架</w:t>
            </w:r>
          </w:p>
        </w:tc>
        <w:tc>
          <w:tcPr>
            <w:tcW w:w="8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BBBC92">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w:t>
            </w:r>
          </w:p>
        </w:tc>
        <w:tc>
          <w:tcPr>
            <w:tcW w:w="8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ABFD0C">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r>
      <w:tr w14:paraId="4E0A1AE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trPr>
        <w:tc>
          <w:tcPr>
            <w:tcW w:w="6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5479C8">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c>
          <w:tcPr>
            <w:tcW w:w="26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DBFC8E">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遮阳罩</w:t>
            </w:r>
          </w:p>
        </w:tc>
        <w:tc>
          <w:tcPr>
            <w:tcW w:w="8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743AD9">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w:t>
            </w:r>
          </w:p>
        </w:tc>
        <w:tc>
          <w:tcPr>
            <w:tcW w:w="8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F321E7">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r>
      <w:tr w14:paraId="79A4249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trPr>
        <w:tc>
          <w:tcPr>
            <w:tcW w:w="6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4F2DF9">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c>
          <w:tcPr>
            <w:tcW w:w="26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8B2D25">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24口POE传输终端</w:t>
            </w:r>
          </w:p>
        </w:tc>
        <w:tc>
          <w:tcPr>
            <w:tcW w:w="8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3D7F1E">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8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8AB613">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台</w:t>
            </w:r>
          </w:p>
        </w:tc>
      </w:tr>
      <w:tr w14:paraId="46C4FC5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trPr>
        <w:tc>
          <w:tcPr>
            <w:tcW w:w="6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DA6DDB">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w:t>
            </w:r>
          </w:p>
        </w:tc>
        <w:tc>
          <w:tcPr>
            <w:tcW w:w="26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85755B">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千兆传输模块</w:t>
            </w:r>
          </w:p>
        </w:tc>
        <w:tc>
          <w:tcPr>
            <w:tcW w:w="8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7B712A">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8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9F5E6D">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r>
      <w:tr w14:paraId="204D181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trPr>
        <w:tc>
          <w:tcPr>
            <w:tcW w:w="6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0EEA06">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w:t>
            </w:r>
          </w:p>
        </w:tc>
        <w:tc>
          <w:tcPr>
            <w:tcW w:w="26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82F447">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6类防水网线</w:t>
            </w:r>
          </w:p>
        </w:tc>
        <w:tc>
          <w:tcPr>
            <w:tcW w:w="8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1A3693">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8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48CE6D">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箱</w:t>
            </w:r>
          </w:p>
        </w:tc>
      </w:tr>
      <w:tr w14:paraId="3C18FC1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trPr>
        <w:tc>
          <w:tcPr>
            <w:tcW w:w="6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C2D9F3">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26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162D9D">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室外落地箱</w:t>
            </w:r>
          </w:p>
        </w:tc>
        <w:tc>
          <w:tcPr>
            <w:tcW w:w="8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0AD26C">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8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63E86E">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r>
      <w:tr w14:paraId="05B949B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trPr>
        <w:tc>
          <w:tcPr>
            <w:tcW w:w="6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89BC5B">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w:t>
            </w:r>
          </w:p>
        </w:tc>
        <w:tc>
          <w:tcPr>
            <w:tcW w:w="26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FEE1E1">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电源线</w:t>
            </w:r>
          </w:p>
        </w:tc>
        <w:tc>
          <w:tcPr>
            <w:tcW w:w="8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4832DD">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200</w:t>
            </w:r>
          </w:p>
        </w:tc>
        <w:tc>
          <w:tcPr>
            <w:tcW w:w="8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EC2A15">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米</w:t>
            </w:r>
          </w:p>
        </w:tc>
      </w:tr>
      <w:tr w14:paraId="351A8D4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trPr>
        <w:tc>
          <w:tcPr>
            <w:tcW w:w="6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9FF9B5">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w:t>
            </w:r>
          </w:p>
        </w:tc>
        <w:tc>
          <w:tcPr>
            <w:tcW w:w="26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80970D">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隔离栏</w:t>
            </w:r>
          </w:p>
        </w:tc>
        <w:tc>
          <w:tcPr>
            <w:tcW w:w="8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5D45E7">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120</w:t>
            </w:r>
          </w:p>
        </w:tc>
        <w:tc>
          <w:tcPr>
            <w:tcW w:w="8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83DF37">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米</w:t>
            </w:r>
          </w:p>
        </w:tc>
      </w:tr>
    </w:tbl>
    <w:p w14:paraId="115D7989">
      <w:pPr>
        <w:keepNext w:val="0"/>
        <w:keepLines w:val="0"/>
        <w:pageBreakBefore w:val="0"/>
        <w:widowControl w:val="0"/>
        <w:kinsoku/>
        <w:wordWrap/>
        <w:overflowPunct/>
        <w:topLinePunct w:val="0"/>
        <w:autoSpaceDE/>
        <w:autoSpaceDN/>
        <w:bidi w:val="0"/>
        <w:adjustRightInd/>
        <w:snapToGrid/>
        <w:spacing w:line="560" w:lineRule="atLeast"/>
        <w:ind w:firstLine="408"/>
        <w:textAlignment w:val="auto"/>
        <w:rPr>
          <w:rFonts w:hint="eastAsia" w:ascii="宋体" w:hAnsi="宋体" w:eastAsia="宋体" w:cs="宋体"/>
          <w:sz w:val="24"/>
          <w:szCs w:val="24"/>
        </w:rPr>
      </w:pPr>
      <w:r>
        <w:rPr>
          <w:rFonts w:hint="eastAsia" w:ascii="宋体" w:hAnsi="宋体" w:eastAsia="宋体" w:cs="宋体"/>
          <w:color w:val="000000" w:themeColor="text1"/>
          <w:sz w:val="24"/>
          <w:szCs w:val="24"/>
          <w14:textFill>
            <w14:solidFill>
              <w14:schemeClr w14:val="tx1"/>
            </w14:solidFill>
          </w14:textFill>
        </w:rPr>
        <w:t>2</w:t>
      </w:r>
      <w:r>
        <w:rPr>
          <w:rFonts w:hint="eastAsia" w:ascii="宋体" w:hAnsi="宋体" w:eastAsia="宋体" w:cs="宋体"/>
          <w:color w:val="000000" w:themeColor="text1"/>
          <w:sz w:val="24"/>
          <w:szCs w:val="24"/>
          <w:lang w:val="en-US" w:eastAsia="zh-CN"/>
          <w14:textFill>
            <w14:solidFill>
              <w14:schemeClr w14:val="tx1"/>
            </w14:solidFill>
          </w14:textFill>
        </w:rPr>
        <w:t>.</w:t>
      </w:r>
      <w:r>
        <w:rPr>
          <w:rFonts w:hint="eastAsia" w:ascii="宋体" w:hAnsi="宋体" w:eastAsia="宋体" w:cs="宋体"/>
          <w:sz w:val="24"/>
          <w:szCs w:val="24"/>
        </w:rPr>
        <w:t>实施时间：合同签订后</w:t>
      </w:r>
      <w:r>
        <w:rPr>
          <w:rFonts w:hint="eastAsia" w:ascii="宋体" w:hAnsi="宋体" w:eastAsia="宋体" w:cs="宋体"/>
          <w:sz w:val="24"/>
          <w:szCs w:val="24"/>
          <w:lang w:val="en-US" w:eastAsia="zh-CN"/>
        </w:rPr>
        <w:t>30</w:t>
      </w:r>
      <w:r>
        <w:rPr>
          <w:rFonts w:hint="eastAsia" w:ascii="宋体" w:hAnsi="宋体" w:eastAsia="宋体" w:cs="宋体"/>
          <w:sz w:val="24"/>
          <w:szCs w:val="24"/>
        </w:rPr>
        <w:t>个日历天</w:t>
      </w:r>
    </w:p>
    <w:p w14:paraId="72E2979C">
      <w:pPr>
        <w:keepNext w:val="0"/>
        <w:keepLines w:val="0"/>
        <w:pageBreakBefore w:val="0"/>
        <w:widowControl w:val="0"/>
        <w:kinsoku/>
        <w:wordWrap/>
        <w:overflowPunct/>
        <w:topLinePunct w:val="0"/>
        <w:autoSpaceDE/>
        <w:autoSpaceDN/>
        <w:bidi w:val="0"/>
        <w:adjustRightInd/>
        <w:snapToGrid/>
        <w:spacing w:line="560" w:lineRule="atLeast"/>
        <w:ind w:firstLine="408"/>
        <w:textAlignment w:val="auto"/>
        <w:rPr>
          <w:rFonts w:hint="eastAsia" w:ascii="宋体" w:hAnsi="宋体" w:eastAsia="宋体" w:cs="宋体"/>
          <w:sz w:val="24"/>
          <w:szCs w:val="24"/>
        </w:rPr>
      </w:pPr>
      <w:r>
        <w:rPr>
          <w:rFonts w:hint="eastAsia" w:ascii="宋体" w:hAnsi="宋体" w:eastAsia="宋体" w:cs="宋体"/>
          <w:color w:val="000000" w:themeColor="text1"/>
          <w:sz w:val="24"/>
          <w:szCs w:val="24"/>
          <w14:textFill>
            <w14:solidFill>
              <w14:schemeClr w14:val="tx1"/>
            </w14:solidFill>
          </w14:textFill>
        </w:rPr>
        <w:t>3</w:t>
      </w:r>
      <w:r>
        <w:rPr>
          <w:rFonts w:hint="eastAsia" w:ascii="宋体" w:hAnsi="宋体" w:eastAsia="宋体" w:cs="宋体"/>
          <w:color w:val="000000" w:themeColor="text1"/>
          <w:sz w:val="24"/>
          <w:szCs w:val="24"/>
          <w:lang w:val="en-US" w:eastAsia="zh-CN"/>
          <w14:textFill>
            <w14:solidFill>
              <w14:schemeClr w14:val="tx1"/>
            </w14:solidFill>
          </w14:textFill>
        </w:rPr>
        <w:t>.</w:t>
      </w:r>
      <w:r>
        <w:rPr>
          <w:rFonts w:hint="eastAsia" w:ascii="宋体" w:hAnsi="宋体" w:eastAsia="宋体" w:cs="宋体"/>
          <w:color w:val="000000" w:themeColor="text1"/>
          <w:sz w:val="24"/>
          <w:szCs w:val="24"/>
          <w14:textFill>
            <w14:solidFill>
              <w14:schemeClr w14:val="tx1"/>
            </w14:solidFill>
          </w14:textFill>
        </w:rPr>
        <w:t>交付</w:t>
      </w:r>
      <w:r>
        <w:rPr>
          <w:rFonts w:hint="eastAsia" w:ascii="宋体" w:hAnsi="宋体" w:eastAsia="宋体" w:cs="宋体"/>
          <w:sz w:val="24"/>
          <w:szCs w:val="24"/>
        </w:rPr>
        <w:t>地点：</w:t>
      </w:r>
    </w:p>
    <w:p w14:paraId="73E7A290">
      <w:pPr>
        <w:keepNext w:val="0"/>
        <w:keepLines w:val="0"/>
        <w:pageBreakBefore w:val="0"/>
        <w:widowControl w:val="0"/>
        <w:kinsoku/>
        <w:wordWrap/>
        <w:overflowPunct/>
        <w:topLinePunct w:val="0"/>
        <w:autoSpaceDE/>
        <w:autoSpaceDN/>
        <w:bidi w:val="0"/>
        <w:adjustRightInd/>
        <w:snapToGrid/>
        <w:spacing w:line="560" w:lineRule="atLeast"/>
        <w:ind w:firstLine="705" w:firstLineChars="294"/>
        <w:textAlignment w:val="auto"/>
        <w:rPr>
          <w:rFonts w:hint="default"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设备交付地点：上海对外经贸大学松江校区西门区域</w:t>
      </w:r>
    </w:p>
    <w:p w14:paraId="72170AF5">
      <w:pPr>
        <w:keepNext w:val="0"/>
        <w:keepLines w:val="0"/>
        <w:pageBreakBefore w:val="0"/>
        <w:kinsoku/>
        <w:wordWrap/>
        <w:overflowPunct/>
        <w:topLinePunct w:val="0"/>
        <w:autoSpaceDE/>
        <w:autoSpaceDN/>
        <w:bidi w:val="0"/>
        <w:adjustRightInd/>
        <w:snapToGrid/>
        <w:spacing w:line="560" w:lineRule="atLeast"/>
        <w:ind w:firstLine="705" w:firstLineChars="294"/>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后台功能交付地点：上海对外经贸大学松江校区信息楼监控中心</w:t>
      </w:r>
    </w:p>
    <w:p w14:paraId="3A39125C">
      <w:pPr>
        <w:keepNext w:val="0"/>
        <w:keepLines w:val="0"/>
        <w:pageBreakBefore w:val="0"/>
        <w:numPr>
          <w:ilvl w:val="0"/>
          <w:numId w:val="0"/>
        </w:numPr>
        <w:kinsoku/>
        <w:wordWrap/>
        <w:overflowPunct/>
        <w:topLinePunct w:val="0"/>
        <w:autoSpaceDE/>
        <w:autoSpaceDN/>
        <w:bidi w:val="0"/>
        <w:adjustRightInd/>
        <w:snapToGrid/>
        <w:spacing w:line="560" w:lineRule="atLeast"/>
        <w:ind w:firstLine="480" w:firstLineChars="20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4.本次采购的</w:t>
      </w:r>
      <w:r>
        <w:rPr>
          <w:rFonts w:hint="eastAsia" w:ascii="宋体" w:hAnsi="宋体" w:eastAsia="宋体" w:cs="宋体"/>
          <w:color w:val="000000" w:themeColor="text1"/>
          <w:sz w:val="24"/>
          <w:szCs w:val="24"/>
          <w14:textFill>
            <w14:solidFill>
              <w14:schemeClr w14:val="tx1"/>
            </w14:solidFill>
          </w14:textFill>
        </w:rPr>
        <w:t>所有设备及配</w:t>
      </w:r>
      <w:r>
        <w:rPr>
          <w:rFonts w:hint="eastAsia" w:ascii="宋体" w:hAnsi="宋体" w:eastAsia="宋体" w:cs="宋体"/>
          <w:color w:val="000000" w:themeColor="text1"/>
          <w:sz w:val="24"/>
          <w:szCs w:val="24"/>
          <w:lang w:val="en-US" w:eastAsia="zh-CN"/>
          <w14:textFill>
            <w14:solidFill>
              <w14:schemeClr w14:val="tx1"/>
            </w14:solidFill>
          </w14:textFill>
        </w:rPr>
        <w:t>件</w:t>
      </w:r>
      <w:r>
        <w:rPr>
          <w:rFonts w:hint="eastAsia" w:ascii="宋体" w:hAnsi="宋体" w:eastAsia="宋体" w:cs="宋体"/>
          <w:color w:val="000000" w:themeColor="text1"/>
          <w:sz w:val="24"/>
          <w:szCs w:val="24"/>
          <w14:textFill>
            <w14:solidFill>
              <w14:schemeClr w14:val="tx1"/>
            </w14:solidFill>
          </w14:textFill>
        </w:rPr>
        <w:t>免费质保期为最终验收合格之日起三年。</w:t>
      </w:r>
    </w:p>
    <w:p w14:paraId="0FDAD9AA">
      <w:pPr>
        <w:keepNext w:val="0"/>
        <w:keepLines w:val="0"/>
        <w:pageBreakBefore w:val="0"/>
        <w:numPr>
          <w:ilvl w:val="0"/>
          <w:numId w:val="0"/>
        </w:numPr>
        <w:kinsoku/>
        <w:wordWrap/>
        <w:overflowPunct/>
        <w:topLinePunct w:val="0"/>
        <w:autoSpaceDE/>
        <w:autoSpaceDN/>
        <w:bidi w:val="0"/>
        <w:adjustRightInd/>
        <w:snapToGrid/>
        <w:spacing w:line="560" w:lineRule="atLeast"/>
        <w:rPr>
          <w:rFonts w:hint="eastAsia" w:ascii="宋体" w:hAnsi="宋体" w:eastAsia="宋体" w:cs="宋体"/>
          <w:sz w:val="24"/>
          <w:szCs w:val="24"/>
          <w:lang w:val="en-US" w:eastAsia="zh-CN"/>
        </w:rPr>
      </w:pPr>
    </w:p>
    <w:p w14:paraId="5D34B635">
      <w:pPr>
        <w:keepNext w:val="0"/>
        <w:keepLines w:val="0"/>
        <w:pageBreakBefore w:val="0"/>
        <w:numPr>
          <w:ilvl w:val="0"/>
          <w:numId w:val="0"/>
        </w:numPr>
        <w:kinsoku/>
        <w:wordWrap/>
        <w:overflowPunct/>
        <w:topLinePunct w:val="0"/>
        <w:autoSpaceDE/>
        <w:autoSpaceDN/>
        <w:bidi w:val="0"/>
        <w:adjustRightInd/>
        <w:snapToGrid/>
        <w:spacing w:line="560" w:lineRule="atLeast"/>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五、项目实施要求：</w:t>
      </w:r>
    </w:p>
    <w:p w14:paraId="21BAA125">
      <w:pPr>
        <w:keepNext w:val="0"/>
        <w:keepLines w:val="0"/>
        <w:pageBreakBefore w:val="0"/>
        <w:kinsoku/>
        <w:wordWrap/>
        <w:overflowPunct/>
        <w:topLinePunct w:val="0"/>
        <w:autoSpaceDE/>
        <w:autoSpaceDN/>
        <w:bidi w:val="0"/>
        <w:adjustRightInd/>
        <w:snapToGrid/>
        <w:spacing w:line="560" w:lineRule="atLeast"/>
        <w:ind w:firstLine="480" w:firstLineChars="200"/>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1.投标人应充分了解本项目需求，所提供货物必须通过合法渠道取得，货物必须是生产制造厂家原装且未经使用的全新合格产品，货物均须符合国产化相关要求。</w:t>
      </w:r>
    </w:p>
    <w:p w14:paraId="16EB70AF">
      <w:pPr>
        <w:keepNext w:val="0"/>
        <w:keepLines w:val="0"/>
        <w:pageBreakBefore w:val="0"/>
        <w:kinsoku/>
        <w:wordWrap/>
        <w:overflowPunct/>
        <w:topLinePunct w:val="0"/>
        <w:autoSpaceDE/>
        <w:autoSpaceDN/>
        <w:bidi w:val="0"/>
        <w:adjustRightInd/>
        <w:snapToGrid/>
        <w:spacing w:line="560" w:lineRule="atLeast"/>
        <w:ind w:firstLine="480" w:firstLineChars="200"/>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2.投标人应注意采购需求中指出技术规格以及参照型号仅起说明作用，并没有任何限制性。投标人在报价中可以选用替代规格、标准、型号的产品，但这些替代要实质上满足或超过采购需求，投标文件中产品需明确主要设备的品牌。投标人在中标后需提供相应的检测报告和设备原厂授权证明才可签订合同。</w:t>
      </w:r>
    </w:p>
    <w:p w14:paraId="11EF8A68">
      <w:pPr>
        <w:keepNext w:val="0"/>
        <w:keepLines w:val="0"/>
        <w:pageBreakBefore w:val="0"/>
        <w:kinsoku/>
        <w:wordWrap/>
        <w:overflowPunct/>
        <w:topLinePunct w:val="0"/>
        <w:autoSpaceDE/>
        <w:autoSpaceDN/>
        <w:bidi w:val="0"/>
        <w:adjustRightInd/>
        <w:snapToGrid/>
        <w:spacing w:line="560" w:lineRule="atLeast"/>
        <w:ind w:firstLine="480" w:firstLineChars="200"/>
        <w:rPr>
          <w:rFonts w:hint="eastAsia" w:ascii="宋体" w:hAnsi="宋体" w:eastAsia="宋体" w:cs="宋体"/>
          <w:sz w:val="24"/>
          <w:szCs w:val="24"/>
          <w:lang w:eastAsia="zh-CN"/>
        </w:rPr>
      </w:pPr>
      <w:r>
        <w:rPr>
          <w:rFonts w:hint="eastAsia" w:ascii="宋体" w:hAnsi="宋体" w:eastAsia="宋体" w:cs="宋体"/>
          <w:color w:val="000000" w:themeColor="text1"/>
          <w:sz w:val="24"/>
          <w:szCs w:val="24"/>
          <w:lang w:val="en-US" w:eastAsia="zh-CN"/>
          <w14:textFill>
            <w14:solidFill>
              <w14:schemeClr w14:val="tx1"/>
            </w14:solidFill>
          </w14:textFill>
        </w:rPr>
        <w:t>3.本次采购的速通门设备必须接入松江校区现有门禁管理平台中，</w:t>
      </w:r>
      <w:r>
        <w:rPr>
          <w:rFonts w:hint="eastAsia" w:ascii="宋体" w:hAnsi="宋体" w:eastAsia="宋体" w:cs="宋体"/>
          <w:sz w:val="24"/>
          <w:szCs w:val="24"/>
        </w:rPr>
        <w:t>统一身份权限、统一数据归集、统一运维管理</w:t>
      </w:r>
      <w:r>
        <w:rPr>
          <w:rFonts w:hint="eastAsia" w:ascii="宋体" w:hAnsi="宋体" w:eastAsia="宋体" w:cs="宋体"/>
          <w:sz w:val="24"/>
          <w:szCs w:val="24"/>
          <w:lang w:eastAsia="zh-CN"/>
        </w:rPr>
        <w:t>。</w:t>
      </w:r>
    </w:p>
    <w:p w14:paraId="5D3BEC17">
      <w:pPr>
        <w:keepNext w:val="0"/>
        <w:keepLines w:val="0"/>
        <w:pageBreakBefore w:val="0"/>
        <w:kinsoku/>
        <w:wordWrap/>
        <w:overflowPunct/>
        <w:topLinePunct w:val="0"/>
        <w:autoSpaceDE/>
        <w:autoSpaceDN/>
        <w:bidi w:val="0"/>
        <w:adjustRightInd/>
        <w:snapToGrid/>
        <w:spacing w:line="560" w:lineRule="atLeast"/>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4.</w:t>
      </w:r>
      <w:r>
        <w:rPr>
          <w:rFonts w:hint="eastAsia" w:ascii="宋体" w:hAnsi="宋体" w:eastAsia="宋体" w:cs="宋体"/>
          <w:sz w:val="24"/>
          <w:szCs w:val="24"/>
        </w:rPr>
        <w:t>中标人在签订合同时，不得提出附加条件和不合理要求，否则将取消其中标资格。</w:t>
      </w:r>
    </w:p>
    <w:p w14:paraId="62056645">
      <w:pPr>
        <w:keepNext w:val="0"/>
        <w:keepLines w:val="0"/>
        <w:pageBreakBefore w:val="0"/>
        <w:numPr>
          <w:ilvl w:val="0"/>
          <w:numId w:val="0"/>
        </w:numPr>
        <w:kinsoku/>
        <w:wordWrap/>
        <w:overflowPunct/>
        <w:topLinePunct w:val="0"/>
        <w:autoSpaceDE/>
        <w:autoSpaceDN/>
        <w:bidi w:val="0"/>
        <w:adjustRightInd/>
        <w:snapToGrid/>
        <w:spacing w:line="560" w:lineRule="atLeast"/>
        <w:rPr>
          <w:rFonts w:hint="eastAsia" w:ascii="宋体" w:hAnsi="宋体" w:eastAsia="宋体" w:cs="宋体"/>
          <w:sz w:val="24"/>
          <w:szCs w:val="24"/>
          <w:lang w:val="en-US" w:eastAsia="zh-CN"/>
        </w:rPr>
      </w:pPr>
    </w:p>
    <w:p w14:paraId="5700712A">
      <w:pPr>
        <w:keepNext w:val="0"/>
        <w:keepLines w:val="0"/>
        <w:pageBreakBefore w:val="0"/>
        <w:kinsoku/>
        <w:wordWrap/>
        <w:overflowPunct/>
        <w:topLinePunct w:val="0"/>
        <w:autoSpaceDE/>
        <w:autoSpaceDN/>
        <w:bidi w:val="0"/>
        <w:adjustRightInd/>
        <w:snapToGrid/>
        <w:spacing w:line="560" w:lineRule="atLeast"/>
        <w:rPr>
          <w:rFonts w:hint="eastAsia" w:ascii="宋体" w:hAnsi="宋体" w:eastAsia="宋体" w:cs="宋体"/>
          <w:b/>
          <w:bCs/>
          <w:sz w:val="24"/>
          <w:szCs w:val="24"/>
        </w:rPr>
      </w:pPr>
      <w:r>
        <w:rPr>
          <w:rFonts w:hint="eastAsia" w:ascii="宋体" w:hAnsi="宋体" w:eastAsia="宋体" w:cs="宋体"/>
          <w:b/>
          <w:bCs/>
          <w:sz w:val="24"/>
          <w:szCs w:val="24"/>
          <w:lang w:val="en-US" w:eastAsia="zh-CN"/>
        </w:rPr>
        <w:t>六、</w:t>
      </w:r>
      <w:r>
        <w:rPr>
          <w:rFonts w:hint="eastAsia" w:ascii="宋体" w:hAnsi="宋体" w:eastAsia="宋体" w:cs="宋体"/>
          <w:b/>
          <w:bCs/>
          <w:sz w:val="24"/>
          <w:szCs w:val="24"/>
        </w:rPr>
        <w:t>合同款项的支付方式、时间、条件</w:t>
      </w:r>
    </w:p>
    <w:p w14:paraId="4D7B2FCC">
      <w:pPr>
        <w:keepNext w:val="0"/>
        <w:keepLines w:val="0"/>
        <w:pageBreakBefore w:val="0"/>
        <w:numPr>
          <w:ilvl w:val="0"/>
          <w:numId w:val="0"/>
        </w:numPr>
        <w:kinsoku/>
        <w:wordWrap/>
        <w:overflowPunct/>
        <w:topLinePunct w:val="0"/>
        <w:autoSpaceDE/>
        <w:autoSpaceDN/>
        <w:bidi w:val="0"/>
        <w:adjustRightInd/>
        <w:snapToGrid/>
        <w:spacing w:line="560" w:lineRule="atLeast"/>
        <w:ind w:firstLine="480" w:firstLineChars="200"/>
        <w:rPr>
          <w:rFonts w:hint="eastAsia" w:ascii="宋体" w:hAnsi="宋体" w:eastAsia="宋体" w:cs="宋体"/>
          <w:sz w:val="24"/>
          <w:szCs w:val="24"/>
          <w:lang w:val="zh-CN"/>
        </w:rPr>
      </w:pPr>
      <w:r>
        <w:rPr>
          <w:rFonts w:hint="eastAsia" w:ascii="宋体" w:hAnsi="宋体" w:eastAsia="宋体" w:cs="宋体"/>
          <w:sz w:val="24"/>
          <w:szCs w:val="24"/>
          <w:lang w:val="en-US" w:eastAsia="zh-CN"/>
        </w:rPr>
        <w:t>所有设备到货并通过采购</w:t>
      </w:r>
      <w:r>
        <w:rPr>
          <w:rFonts w:hint="eastAsia" w:ascii="宋体" w:hAnsi="宋体" w:eastAsia="宋体" w:cs="宋体"/>
          <w:sz w:val="24"/>
          <w:szCs w:val="24"/>
          <w:lang w:val="zh-CN"/>
        </w:rPr>
        <w:t>人验收合格后一次性付清，结算时需提供货物类增值税发票。</w:t>
      </w:r>
    </w:p>
    <w:p w14:paraId="6ACD3EA9">
      <w:pPr>
        <w:pStyle w:val="2"/>
        <w:rPr>
          <w:rFonts w:hint="eastAsia" w:ascii="宋体" w:hAnsi="宋体" w:eastAsia="宋体" w:cs="宋体"/>
          <w:sz w:val="24"/>
          <w:szCs w:val="24"/>
          <w:lang w:val="zh-CN"/>
        </w:rPr>
      </w:pPr>
    </w:p>
    <w:p w14:paraId="53FCA1E8">
      <w:pPr>
        <w:rPr>
          <w:rFonts w:hint="eastAsia"/>
          <w:lang w:val="zh-CN"/>
        </w:rPr>
      </w:pPr>
    </w:p>
    <w:p w14:paraId="2E90A3EC">
      <w:pPr>
        <w:keepNext w:val="0"/>
        <w:keepLines w:val="0"/>
        <w:pageBreakBefore w:val="0"/>
        <w:kinsoku/>
        <w:wordWrap/>
        <w:overflowPunct/>
        <w:topLinePunct w:val="0"/>
        <w:autoSpaceDE/>
        <w:autoSpaceDN/>
        <w:bidi w:val="0"/>
        <w:adjustRightInd/>
        <w:snapToGrid/>
        <w:spacing w:line="560" w:lineRule="atLeast"/>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七、其他要求（实质性响应承诺）</w:t>
      </w:r>
    </w:p>
    <w:p w14:paraId="6EA0E71A">
      <w:pPr>
        <w:keepNext w:val="0"/>
        <w:keepLines w:val="0"/>
        <w:pageBreakBefore w:val="0"/>
        <w:kinsoku/>
        <w:wordWrap/>
        <w:overflowPunct/>
        <w:topLinePunct w:val="0"/>
        <w:autoSpaceDE/>
        <w:autoSpaceDN/>
        <w:bidi w:val="0"/>
        <w:adjustRightInd/>
        <w:snapToGrid/>
        <w:spacing w:line="560" w:lineRule="atLeast"/>
        <w:ind w:firstLine="480" w:firstLineChars="200"/>
        <w:rPr>
          <w:rFonts w:hint="eastAsia" w:ascii="宋体" w:hAnsi="宋体" w:eastAsia="宋体" w:cs="宋体"/>
          <w:sz w:val="24"/>
          <w:szCs w:val="24"/>
        </w:rPr>
      </w:pPr>
      <w:r>
        <w:rPr>
          <w:rFonts w:hint="eastAsia" w:ascii="宋体" w:hAnsi="宋体" w:eastAsia="宋体" w:cs="宋体"/>
          <w:sz w:val="24"/>
          <w:szCs w:val="24"/>
        </w:rPr>
        <w:t>★本项目整体建设内容因涉及到</w:t>
      </w:r>
      <w:r>
        <w:rPr>
          <w:rFonts w:hint="eastAsia" w:ascii="宋体" w:hAnsi="宋体" w:eastAsia="宋体" w:cs="宋体"/>
          <w:sz w:val="24"/>
          <w:szCs w:val="24"/>
          <w:lang w:val="en-US" w:eastAsia="zh-CN"/>
        </w:rPr>
        <w:t>学校大门出入口管理</w:t>
      </w:r>
      <w:r>
        <w:rPr>
          <w:rFonts w:hint="eastAsia" w:ascii="宋体" w:hAnsi="宋体" w:eastAsia="宋体" w:cs="宋体"/>
          <w:sz w:val="24"/>
          <w:szCs w:val="24"/>
        </w:rPr>
        <w:t>，</w:t>
      </w:r>
      <w:r>
        <w:rPr>
          <w:rFonts w:hint="eastAsia" w:ascii="宋体" w:hAnsi="宋体" w:eastAsia="宋体" w:cs="宋体"/>
          <w:sz w:val="24"/>
          <w:szCs w:val="24"/>
          <w:lang w:val="en-US" w:eastAsia="zh-CN"/>
        </w:rPr>
        <w:t>人脸识别精度和效率</w:t>
      </w:r>
      <w:r>
        <w:rPr>
          <w:rFonts w:hint="eastAsia" w:ascii="宋体" w:hAnsi="宋体" w:eastAsia="宋体" w:cs="宋体"/>
          <w:sz w:val="24"/>
          <w:szCs w:val="24"/>
        </w:rPr>
        <w:t>要求高，具有很高的系统稳定性和运行保障要求，故本项目主要设备均须采用有成熟应用的可靠品牌产品，且必须书面承诺实现</w:t>
      </w:r>
      <w:r>
        <w:rPr>
          <w:rFonts w:hint="eastAsia" w:ascii="宋体" w:hAnsi="宋体" w:eastAsia="宋体" w:cs="宋体"/>
          <w:sz w:val="24"/>
          <w:szCs w:val="24"/>
          <w:lang w:val="en-US" w:eastAsia="zh-CN"/>
        </w:rPr>
        <w:t>速通门设备接入松江校区现有门禁管理平台中，</w:t>
      </w:r>
      <w:r>
        <w:rPr>
          <w:rFonts w:hint="eastAsia" w:ascii="宋体" w:hAnsi="宋体" w:eastAsia="宋体" w:cs="宋体"/>
          <w:sz w:val="24"/>
          <w:szCs w:val="24"/>
        </w:rPr>
        <w:t>统一身份权限、统一数据归集、统一运维管理。</w:t>
      </w:r>
    </w:p>
    <w:p w14:paraId="6700C05C">
      <w:pPr>
        <w:keepNext w:val="0"/>
        <w:keepLines w:val="0"/>
        <w:pageBreakBefore w:val="0"/>
        <w:kinsoku/>
        <w:wordWrap/>
        <w:overflowPunct/>
        <w:topLinePunct w:val="0"/>
        <w:autoSpaceDE/>
        <w:autoSpaceDN/>
        <w:bidi w:val="0"/>
        <w:adjustRightInd/>
        <w:snapToGrid/>
        <w:spacing w:line="560" w:lineRule="atLeast"/>
        <w:ind w:firstLine="480" w:firstLineChars="200"/>
        <w:rPr>
          <w:rFonts w:hint="eastAsia" w:ascii="宋体" w:hAnsi="宋体" w:eastAsia="宋体" w:cs="宋体"/>
          <w:sz w:val="24"/>
          <w:szCs w:val="24"/>
        </w:rPr>
      </w:pPr>
      <w:r>
        <w:rPr>
          <w:rFonts w:hint="eastAsia" w:ascii="宋体" w:hAnsi="宋体" w:eastAsia="宋体" w:cs="宋体"/>
          <w:sz w:val="24"/>
          <w:szCs w:val="24"/>
        </w:rPr>
        <w:t>★若上述条款最终无法满足此要求，招标方有权终止合同，并要求中标方赔偿招标方的一切损失。投标单位须对此项要求出具书面承诺，如不出具将作为非实质性响应，不列入最终评审范围。</w:t>
      </w:r>
    </w:p>
    <w:p w14:paraId="1CF316EA">
      <w:pPr>
        <w:pStyle w:val="2"/>
        <w:rPr>
          <w:rFonts w:hint="eastAsia" w:ascii="宋体" w:hAnsi="宋体" w:eastAsia="宋体" w:cs="宋体"/>
          <w:sz w:val="24"/>
          <w:szCs w:val="24"/>
        </w:rPr>
      </w:pPr>
    </w:p>
    <w:p w14:paraId="1B8491A6">
      <w:pPr>
        <w:rPr>
          <w:rFonts w:hint="eastAsia" w:ascii="宋体" w:hAnsi="宋体" w:eastAsia="宋体" w:cs="宋体"/>
          <w:sz w:val="24"/>
          <w:szCs w:val="24"/>
        </w:rPr>
      </w:pPr>
    </w:p>
    <w:p w14:paraId="68F956F2">
      <w:pPr>
        <w:pStyle w:val="2"/>
        <w:rPr>
          <w:rFonts w:hint="eastAsia" w:ascii="宋体" w:hAnsi="宋体" w:eastAsia="宋体" w:cs="宋体"/>
          <w:sz w:val="24"/>
          <w:szCs w:val="24"/>
        </w:rPr>
      </w:pPr>
    </w:p>
    <w:p w14:paraId="5AC1BF94">
      <w:pPr>
        <w:rPr>
          <w:rFonts w:hint="eastAsia" w:ascii="宋体" w:hAnsi="宋体" w:eastAsia="宋体" w:cs="宋体"/>
          <w:sz w:val="24"/>
          <w:szCs w:val="24"/>
        </w:rPr>
      </w:pPr>
    </w:p>
    <w:p w14:paraId="28C357DD">
      <w:pPr>
        <w:pStyle w:val="2"/>
        <w:rPr>
          <w:rFonts w:hint="eastAsia" w:ascii="宋体" w:hAnsi="宋体" w:eastAsia="宋体" w:cs="宋体"/>
          <w:sz w:val="24"/>
          <w:szCs w:val="24"/>
        </w:rPr>
      </w:pPr>
    </w:p>
    <w:p w14:paraId="4AFEABFA">
      <w:pPr>
        <w:rPr>
          <w:rFonts w:hint="eastAsia" w:ascii="宋体" w:hAnsi="宋体" w:eastAsia="宋体" w:cs="宋体"/>
          <w:sz w:val="24"/>
          <w:szCs w:val="24"/>
        </w:rPr>
      </w:pPr>
    </w:p>
    <w:p w14:paraId="1043C94C">
      <w:pPr>
        <w:pStyle w:val="2"/>
        <w:rPr>
          <w:rFonts w:hint="eastAsia" w:ascii="宋体" w:hAnsi="宋体" w:eastAsia="宋体" w:cs="宋体"/>
          <w:sz w:val="24"/>
          <w:szCs w:val="24"/>
        </w:rPr>
      </w:pPr>
    </w:p>
    <w:p w14:paraId="4C9D2625">
      <w:pPr>
        <w:rPr>
          <w:rFonts w:hint="eastAsia" w:ascii="宋体" w:hAnsi="宋体" w:eastAsia="宋体" w:cs="宋体"/>
          <w:sz w:val="24"/>
          <w:szCs w:val="24"/>
        </w:rPr>
      </w:pPr>
    </w:p>
    <w:p w14:paraId="398C28DE">
      <w:pPr>
        <w:pStyle w:val="2"/>
        <w:rPr>
          <w:rFonts w:hint="eastAsia" w:ascii="宋体" w:hAnsi="宋体" w:eastAsia="宋体" w:cs="宋体"/>
          <w:sz w:val="24"/>
          <w:szCs w:val="24"/>
        </w:rPr>
      </w:pPr>
    </w:p>
    <w:p w14:paraId="299DE446">
      <w:pPr>
        <w:rPr>
          <w:rFonts w:hint="eastAsia" w:ascii="宋体" w:hAnsi="宋体" w:eastAsia="宋体" w:cs="宋体"/>
          <w:sz w:val="24"/>
          <w:szCs w:val="24"/>
        </w:rPr>
      </w:pPr>
    </w:p>
    <w:p w14:paraId="6B4D3CFC">
      <w:pPr>
        <w:pStyle w:val="2"/>
        <w:rPr>
          <w:rFonts w:hint="eastAsia" w:ascii="宋体" w:hAnsi="宋体" w:eastAsia="宋体" w:cs="宋体"/>
          <w:sz w:val="24"/>
          <w:szCs w:val="24"/>
        </w:rPr>
      </w:pPr>
    </w:p>
    <w:p w14:paraId="5FAE34AD">
      <w:pPr>
        <w:rPr>
          <w:rFonts w:hint="eastAsia" w:ascii="宋体" w:hAnsi="宋体" w:eastAsia="宋体" w:cs="宋体"/>
          <w:sz w:val="24"/>
          <w:szCs w:val="24"/>
        </w:rPr>
      </w:pPr>
    </w:p>
    <w:p w14:paraId="114722AF">
      <w:pPr>
        <w:keepNext w:val="0"/>
        <w:keepLines w:val="0"/>
        <w:pageBreakBefore w:val="0"/>
        <w:kinsoku/>
        <w:wordWrap/>
        <w:overflowPunct/>
        <w:topLinePunct w:val="0"/>
        <w:autoSpaceDE/>
        <w:autoSpaceDN/>
        <w:bidi w:val="0"/>
        <w:adjustRightInd/>
        <w:snapToGrid/>
        <w:spacing w:line="560" w:lineRule="atLeast"/>
        <w:rPr>
          <w:rFonts w:hint="eastAsia" w:ascii="宋体" w:hAnsi="宋体" w:eastAsia="宋体" w:cs="宋体"/>
          <w:b/>
          <w:bCs/>
          <w:sz w:val="24"/>
          <w:szCs w:val="24"/>
          <w:lang w:val="en-US" w:eastAsia="zh-CN"/>
        </w:rPr>
      </w:pPr>
    </w:p>
    <w:p w14:paraId="008FDB3D">
      <w:pPr>
        <w:pStyle w:val="2"/>
        <w:rPr>
          <w:rFonts w:hint="eastAsia"/>
          <w:lang w:val="en-US" w:eastAsia="zh-CN"/>
        </w:rPr>
      </w:pPr>
    </w:p>
    <w:p w14:paraId="3BA59831">
      <w:pPr>
        <w:keepNext w:val="0"/>
        <w:keepLines w:val="0"/>
        <w:pageBreakBefore w:val="0"/>
        <w:kinsoku/>
        <w:wordWrap/>
        <w:overflowPunct/>
        <w:topLinePunct w:val="0"/>
        <w:autoSpaceDE/>
        <w:autoSpaceDN/>
        <w:bidi w:val="0"/>
        <w:adjustRightInd/>
        <w:snapToGrid/>
        <w:spacing w:line="560" w:lineRule="atLeast"/>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附件：实质性条款响应承诺书</w:t>
      </w:r>
    </w:p>
    <w:p w14:paraId="382C55EB">
      <w:pPr>
        <w:keepNext w:val="0"/>
        <w:keepLines w:val="0"/>
        <w:pageBreakBefore w:val="0"/>
        <w:kinsoku/>
        <w:wordWrap/>
        <w:overflowPunct/>
        <w:topLinePunct w:val="0"/>
        <w:autoSpaceDE/>
        <w:autoSpaceDN/>
        <w:bidi w:val="0"/>
        <w:adjustRightInd/>
        <w:snapToGrid/>
        <w:spacing w:line="560" w:lineRule="atLeast"/>
        <w:ind w:firstLine="480" w:firstLineChars="200"/>
        <w:rPr>
          <w:rFonts w:hint="eastAsia" w:ascii="宋体" w:hAnsi="宋体" w:eastAsia="宋体" w:cs="宋体"/>
          <w:sz w:val="24"/>
          <w:szCs w:val="24"/>
        </w:rPr>
      </w:pPr>
    </w:p>
    <w:p w14:paraId="01AAB797">
      <w:pPr>
        <w:keepNext w:val="0"/>
        <w:keepLines w:val="0"/>
        <w:pageBreakBefore w:val="0"/>
        <w:kinsoku/>
        <w:wordWrap/>
        <w:overflowPunct/>
        <w:topLinePunct w:val="0"/>
        <w:autoSpaceDE/>
        <w:autoSpaceDN/>
        <w:bidi w:val="0"/>
        <w:adjustRightInd/>
        <w:snapToGrid/>
        <w:spacing w:line="560" w:lineRule="atLeast"/>
        <w:rPr>
          <w:rFonts w:hint="eastAsia" w:ascii="宋体" w:hAnsi="宋体" w:eastAsia="宋体" w:cs="宋体"/>
          <w:sz w:val="24"/>
          <w:szCs w:val="24"/>
        </w:rPr>
      </w:pPr>
      <w:r>
        <w:rPr>
          <w:rFonts w:hint="eastAsia" w:ascii="宋体" w:hAnsi="宋体" w:eastAsia="宋体" w:cs="宋体"/>
          <w:sz w:val="24"/>
          <w:szCs w:val="24"/>
        </w:rPr>
        <w:t>致：               （</w:t>
      </w:r>
      <w:r>
        <w:rPr>
          <w:rFonts w:hint="eastAsia" w:ascii="宋体" w:hAnsi="宋体" w:eastAsia="宋体" w:cs="宋体"/>
          <w:sz w:val="24"/>
          <w:szCs w:val="24"/>
          <w:lang w:val="en-US" w:eastAsia="zh-CN"/>
        </w:rPr>
        <w:t>采购</w:t>
      </w:r>
      <w:r>
        <w:rPr>
          <w:rFonts w:hint="eastAsia" w:ascii="宋体" w:hAnsi="宋体" w:eastAsia="宋体" w:cs="宋体"/>
          <w:sz w:val="24"/>
          <w:szCs w:val="24"/>
        </w:rPr>
        <w:t>人）</w:t>
      </w:r>
    </w:p>
    <w:p w14:paraId="41F1E248">
      <w:pPr>
        <w:keepNext w:val="0"/>
        <w:keepLines w:val="0"/>
        <w:pageBreakBefore w:val="0"/>
        <w:kinsoku/>
        <w:wordWrap/>
        <w:overflowPunct/>
        <w:topLinePunct w:val="0"/>
        <w:autoSpaceDE/>
        <w:autoSpaceDN/>
        <w:bidi w:val="0"/>
        <w:adjustRightInd/>
        <w:snapToGrid/>
        <w:spacing w:line="560" w:lineRule="atLeast"/>
        <w:rPr>
          <w:rFonts w:hint="eastAsia" w:ascii="宋体" w:hAnsi="宋体" w:eastAsia="宋体" w:cs="宋体"/>
          <w:sz w:val="24"/>
          <w:szCs w:val="24"/>
        </w:rPr>
      </w:pPr>
      <w:r>
        <w:rPr>
          <w:rFonts w:hint="eastAsia" w:ascii="宋体" w:hAnsi="宋体" w:eastAsia="宋体" w:cs="宋体"/>
          <w:sz w:val="24"/>
          <w:szCs w:val="24"/>
        </w:rPr>
        <w:t>针对本次投标，我司承诺如下：</w:t>
      </w:r>
    </w:p>
    <w:p w14:paraId="12D1CC0E">
      <w:pPr>
        <w:keepNext w:val="0"/>
        <w:keepLines w:val="0"/>
        <w:pageBreakBefore w:val="0"/>
        <w:kinsoku/>
        <w:wordWrap/>
        <w:overflowPunct/>
        <w:topLinePunct w:val="0"/>
        <w:autoSpaceDE/>
        <w:autoSpaceDN/>
        <w:bidi w:val="0"/>
        <w:adjustRightInd/>
        <w:snapToGrid/>
        <w:spacing w:line="560" w:lineRule="atLeast"/>
        <w:ind w:firstLine="480" w:firstLineChars="200"/>
        <w:rPr>
          <w:rFonts w:hint="eastAsia" w:ascii="宋体" w:hAnsi="宋体" w:eastAsia="宋体" w:cs="宋体"/>
          <w:sz w:val="24"/>
          <w:szCs w:val="24"/>
        </w:rPr>
      </w:pPr>
      <w:r>
        <w:rPr>
          <w:rFonts w:hint="eastAsia" w:ascii="宋体" w:hAnsi="宋体" w:eastAsia="宋体" w:cs="宋体"/>
          <w:sz w:val="24"/>
          <w:szCs w:val="24"/>
        </w:rPr>
        <w:t>1、本项目整体建设内容因涉及到</w:t>
      </w:r>
      <w:r>
        <w:rPr>
          <w:rFonts w:hint="eastAsia" w:ascii="宋体" w:hAnsi="宋体" w:eastAsia="宋体" w:cs="宋体"/>
          <w:sz w:val="24"/>
          <w:szCs w:val="24"/>
          <w:lang w:val="en-US" w:eastAsia="zh-CN"/>
        </w:rPr>
        <w:t>学校大门出入口管理</w:t>
      </w:r>
      <w:r>
        <w:rPr>
          <w:rFonts w:hint="eastAsia" w:ascii="宋体" w:hAnsi="宋体" w:eastAsia="宋体" w:cs="宋体"/>
          <w:sz w:val="24"/>
          <w:szCs w:val="24"/>
        </w:rPr>
        <w:t>，</w:t>
      </w:r>
      <w:r>
        <w:rPr>
          <w:rFonts w:hint="eastAsia" w:ascii="宋体" w:hAnsi="宋体" w:eastAsia="宋体" w:cs="宋体"/>
          <w:sz w:val="24"/>
          <w:szCs w:val="24"/>
          <w:lang w:val="en-US" w:eastAsia="zh-CN"/>
        </w:rPr>
        <w:t>人脸识别精度和效率</w:t>
      </w:r>
      <w:r>
        <w:rPr>
          <w:rFonts w:hint="eastAsia" w:ascii="宋体" w:hAnsi="宋体" w:eastAsia="宋体" w:cs="宋体"/>
          <w:sz w:val="24"/>
          <w:szCs w:val="24"/>
        </w:rPr>
        <w:t>要求高，具有很高的系统稳定性和运行保障要求，故本项目主要设备均须采用有成熟应用的可靠品牌产品，且必须书面承诺实现</w:t>
      </w:r>
      <w:r>
        <w:rPr>
          <w:rFonts w:hint="eastAsia" w:ascii="宋体" w:hAnsi="宋体" w:eastAsia="宋体" w:cs="宋体"/>
          <w:sz w:val="24"/>
          <w:szCs w:val="24"/>
          <w:lang w:val="en-US" w:eastAsia="zh-CN"/>
        </w:rPr>
        <w:t>速通门设备接入松江校区现有门禁管理平台中，</w:t>
      </w:r>
      <w:r>
        <w:rPr>
          <w:rFonts w:hint="eastAsia" w:ascii="宋体" w:hAnsi="宋体" w:eastAsia="宋体" w:cs="宋体"/>
          <w:sz w:val="24"/>
          <w:szCs w:val="24"/>
        </w:rPr>
        <w:t>统一身份权限、统一数据归集、统一运维管理。</w:t>
      </w:r>
    </w:p>
    <w:p w14:paraId="1E1EF99E">
      <w:pPr>
        <w:keepNext w:val="0"/>
        <w:keepLines w:val="0"/>
        <w:pageBreakBefore w:val="0"/>
        <w:kinsoku/>
        <w:wordWrap/>
        <w:overflowPunct/>
        <w:topLinePunct w:val="0"/>
        <w:autoSpaceDE/>
        <w:autoSpaceDN/>
        <w:bidi w:val="0"/>
        <w:adjustRightInd/>
        <w:snapToGrid/>
        <w:spacing w:line="560" w:lineRule="atLeast"/>
        <w:ind w:firstLine="480" w:firstLineChars="200"/>
        <w:rPr>
          <w:rFonts w:hint="eastAsia" w:ascii="宋体" w:hAnsi="宋体" w:eastAsia="宋体" w:cs="宋体"/>
          <w:sz w:val="24"/>
          <w:szCs w:val="24"/>
        </w:rPr>
      </w:pPr>
      <w:r>
        <w:rPr>
          <w:rFonts w:hint="eastAsia" w:ascii="宋体" w:hAnsi="宋体" w:eastAsia="宋体" w:cs="宋体"/>
          <w:sz w:val="24"/>
          <w:szCs w:val="24"/>
        </w:rPr>
        <w:t>2、若上述条款最终无法满足此要求，招标方有权终止合同，并要求我司赔偿招标方的一切损失。我司对此项要求出具书面承诺，如不出具将作为非实质性响应，不列入最终评审范围。</w:t>
      </w:r>
    </w:p>
    <w:p w14:paraId="6E77EF9B">
      <w:pPr>
        <w:keepNext w:val="0"/>
        <w:keepLines w:val="0"/>
        <w:pageBreakBefore w:val="0"/>
        <w:kinsoku/>
        <w:wordWrap/>
        <w:overflowPunct/>
        <w:topLinePunct w:val="0"/>
        <w:autoSpaceDE/>
        <w:autoSpaceDN/>
        <w:bidi w:val="0"/>
        <w:adjustRightInd/>
        <w:snapToGrid/>
        <w:spacing w:line="560" w:lineRule="atLeast"/>
        <w:ind w:firstLine="480" w:firstLineChars="200"/>
        <w:rPr>
          <w:rFonts w:hint="eastAsia" w:ascii="宋体" w:hAnsi="宋体" w:eastAsia="宋体" w:cs="宋体"/>
          <w:sz w:val="24"/>
          <w:szCs w:val="24"/>
        </w:rPr>
      </w:pPr>
    </w:p>
    <w:p w14:paraId="4C12A25A">
      <w:pPr>
        <w:keepNext w:val="0"/>
        <w:keepLines w:val="0"/>
        <w:pageBreakBefore w:val="0"/>
        <w:kinsoku/>
        <w:wordWrap/>
        <w:overflowPunct/>
        <w:topLinePunct w:val="0"/>
        <w:autoSpaceDE/>
        <w:autoSpaceDN/>
        <w:bidi w:val="0"/>
        <w:adjustRightInd/>
        <w:snapToGrid/>
        <w:spacing w:line="560" w:lineRule="atLeast"/>
        <w:ind w:firstLine="480" w:firstLineChars="200"/>
        <w:rPr>
          <w:rFonts w:hint="eastAsia" w:ascii="宋体" w:hAnsi="宋体" w:eastAsia="宋体" w:cs="宋体"/>
          <w:sz w:val="24"/>
          <w:szCs w:val="24"/>
        </w:rPr>
      </w:pPr>
    </w:p>
    <w:p w14:paraId="62565C90">
      <w:pPr>
        <w:keepNext w:val="0"/>
        <w:keepLines w:val="0"/>
        <w:pageBreakBefore w:val="0"/>
        <w:kinsoku/>
        <w:wordWrap/>
        <w:overflowPunct/>
        <w:topLinePunct w:val="0"/>
        <w:autoSpaceDE/>
        <w:autoSpaceDN/>
        <w:bidi w:val="0"/>
        <w:adjustRightInd/>
        <w:snapToGrid/>
        <w:spacing w:line="560" w:lineRule="atLeast"/>
        <w:ind w:firstLine="480" w:firstLineChars="200"/>
        <w:rPr>
          <w:rFonts w:hint="eastAsia" w:ascii="宋体" w:hAnsi="宋体" w:eastAsia="宋体" w:cs="宋体"/>
          <w:sz w:val="24"/>
          <w:szCs w:val="24"/>
        </w:rPr>
      </w:pPr>
    </w:p>
    <w:p w14:paraId="4515E0F4">
      <w:pPr>
        <w:keepNext w:val="0"/>
        <w:keepLines w:val="0"/>
        <w:pageBreakBefore w:val="0"/>
        <w:kinsoku/>
        <w:wordWrap/>
        <w:overflowPunct/>
        <w:topLinePunct w:val="0"/>
        <w:autoSpaceDE/>
        <w:autoSpaceDN/>
        <w:bidi w:val="0"/>
        <w:adjustRightInd/>
        <w:snapToGrid/>
        <w:spacing w:line="560" w:lineRule="atLeast"/>
        <w:ind w:firstLine="480" w:firstLineChars="200"/>
        <w:rPr>
          <w:rFonts w:hint="eastAsia" w:ascii="宋体" w:hAnsi="宋体" w:eastAsia="宋体" w:cs="宋体"/>
          <w:sz w:val="24"/>
          <w:szCs w:val="24"/>
        </w:rPr>
      </w:pPr>
    </w:p>
    <w:p w14:paraId="5DBE35AC">
      <w:pPr>
        <w:keepNext w:val="0"/>
        <w:keepLines w:val="0"/>
        <w:pageBreakBefore w:val="0"/>
        <w:kinsoku/>
        <w:wordWrap/>
        <w:overflowPunct/>
        <w:topLinePunct w:val="0"/>
        <w:autoSpaceDE/>
        <w:autoSpaceDN/>
        <w:bidi w:val="0"/>
        <w:adjustRightInd/>
        <w:snapToGrid/>
        <w:spacing w:line="560" w:lineRule="atLeast"/>
        <w:ind w:firstLine="4800" w:firstLineChars="2000"/>
        <w:rPr>
          <w:rFonts w:hint="eastAsia" w:ascii="宋体" w:hAnsi="宋体" w:eastAsia="宋体" w:cs="宋体"/>
          <w:sz w:val="24"/>
          <w:szCs w:val="24"/>
        </w:rPr>
      </w:pPr>
      <w:r>
        <w:rPr>
          <w:rFonts w:hint="eastAsia" w:ascii="宋体" w:hAnsi="宋体" w:eastAsia="宋体" w:cs="宋体"/>
          <w:sz w:val="24"/>
          <w:szCs w:val="24"/>
        </w:rPr>
        <w:t>投标单位公章：</w:t>
      </w:r>
    </w:p>
    <w:p w14:paraId="570B4503">
      <w:pPr>
        <w:keepNext w:val="0"/>
        <w:keepLines w:val="0"/>
        <w:pageBreakBefore w:val="0"/>
        <w:kinsoku/>
        <w:wordWrap/>
        <w:overflowPunct/>
        <w:topLinePunct w:val="0"/>
        <w:autoSpaceDE/>
        <w:autoSpaceDN/>
        <w:bidi w:val="0"/>
        <w:adjustRightInd/>
        <w:snapToGrid/>
        <w:spacing w:line="560" w:lineRule="atLeast"/>
        <w:ind w:firstLine="5280" w:firstLineChars="2200"/>
        <w:rPr>
          <w:rFonts w:hint="eastAsia" w:ascii="宋体" w:hAnsi="宋体" w:eastAsia="宋体" w:cs="宋体"/>
          <w:sz w:val="24"/>
          <w:szCs w:val="24"/>
        </w:rPr>
      </w:pPr>
      <w:r>
        <w:rPr>
          <w:rFonts w:hint="eastAsia" w:ascii="宋体" w:hAnsi="宋体" w:eastAsia="宋体" w:cs="宋体"/>
          <w:sz w:val="24"/>
          <w:szCs w:val="24"/>
        </w:rPr>
        <w:t>日期：</w:t>
      </w:r>
    </w:p>
    <w:p w14:paraId="073E2470">
      <w:pPr>
        <w:pStyle w:val="2"/>
        <w:rPr>
          <w:rFonts w:hint="eastAsia"/>
        </w:rPr>
      </w:pPr>
    </w:p>
    <w:p w14:paraId="732D4B5C">
      <w:pPr>
        <w:keepNext w:val="0"/>
        <w:keepLines w:val="0"/>
        <w:pageBreakBefore w:val="0"/>
        <w:kinsoku/>
        <w:wordWrap/>
        <w:overflowPunct/>
        <w:topLinePunct w:val="0"/>
        <w:autoSpaceDE/>
        <w:autoSpaceDN/>
        <w:bidi w:val="0"/>
        <w:adjustRightInd/>
        <w:snapToGrid/>
        <w:spacing w:line="560" w:lineRule="atLeast"/>
        <w:ind w:firstLine="480" w:firstLineChars="200"/>
        <w:rPr>
          <w:rFonts w:hint="eastAsia" w:ascii="宋体" w:hAnsi="宋体" w:eastAsia="宋体" w:cs="宋体"/>
          <w:sz w:val="24"/>
          <w:szCs w:val="24"/>
          <w:lang w:val="en-US" w:eastAsia="zh-CN"/>
        </w:rPr>
      </w:pP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endnote>
  <w:endnote w:type="continuationSeparator" w:id="1">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footnote>
  <w:footnote w:type="continuationSeparator" w:id="1">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05F7658"/>
    <w:multiLevelType w:val="singleLevel"/>
    <w:tmpl w:val="C05F7658"/>
    <w:lvl w:ilvl="0" w:tentative="0">
      <w:start w:val="4"/>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DU1MTNlNzU4Njg0NTE3YmUzMjIzMjc2NDZmMjY1MTgifQ=="/>
  </w:docVars>
  <w:rsids>
    <w:rsidRoot w:val="00617D5C"/>
    <w:rsid w:val="00054D09"/>
    <w:rsid w:val="00136AD7"/>
    <w:rsid w:val="00351765"/>
    <w:rsid w:val="003A517A"/>
    <w:rsid w:val="00456F4A"/>
    <w:rsid w:val="00522905"/>
    <w:rsid w:val="00581002"/>
    <w:rsid w:val="00601822"/>
    <w:rsid w:val="00617D5C"/>
    <w:rsid w:val="006310B1"/>
    <w:rsid w:val="007A4A79"/>
    <w:rsid w:val="007F041A"/>
    <w:rsid w:val="0081207F"/>
    <w:rsid w:val="00843E14"/>
    <w:rsid w:val="0095018B"/>
    <w:rsid w:val="009601AD"/>
    <w:rsid w:val="00991195"/>
    <w:rsid w:val="009E08B3"/>
    <w:rsid w:val="009F1A76"/>
    <w:rsid w:val="00A02D9A"/>
    <w:rsid w:val="00A56018"/>
    <w:rsid w:val="00AE040E"/>
    <w:rsid w:val="00B73FB6"/>
    <w:rsid w:val="00B85E19"/>
    <w:rsid w:val="00BD6494"/>
    <w:rsid w:val="00C26144"/>
    <w:rsid w:val="00C85ADA"/>
    <w:rsid w:val="00CB63B9"/>
    <w:rsid w:val="00DC518C"/>
    <w:rsid w:val="00E132E6"/>
    <w:rsid w:val="00E26387"/>
    <w:rsid w:val="00E97C15"/>
    <w:rsid w:val="00F62930"/>
    <w:rsid w:val="00FA72BB"/>
    <w:rsid w:val="025008C3"/>
    <w:rsid w:val="02B84A5D"/>
    <w:rsid w:val="033F6056"/>
    <w:rsid w:val="040541A5"/>
    <w:rsid w:val="062A393E"/>
    <w:rsid w:val="078F3130"/>
    <w:rsid w:val="0CF236F8"/>
    <w:rsid w:val="11A97F2E"/>
    <w:rsid w:val="12682FC4"/>
    <w:rsid w:val="14720225"/>
    <w:rsid w:val="1660556B"/>
    <w:rsid w:val="179C4E39"/>
    <w:rsid w:val="19545A19"/>
    <w:rsid w:val="197618BE"/>
    <w:rsid w:val="1B0B6ED2"/>
    <w:rsid w:val="21405B9D"/>
    <w:rsid w:val="214747E7"/>
    <w:rsid w:val="23B07FBC"/>
    <w:rsid w:val="284701FB"/>
    <w:rsid w:val="2AA41661"/>
    <w:rsid w:val="2B7E01B4"/>
    <w:rsid w:val="2BF270E5"/>
    <w:rsid w:val="2CDF0FD8"/>
    <w:rsid w:val="2D913E0A"/>
    <w:rsid w:val="32CEF237"/>
    <w:rsid w:val="341144A6"/>
    <w:rsid w:val="38C667F5"/>
    <w:rsid w:val="38EA78F0"/>
    <w:rsid w:val="3D3D6D72"/>
    <w:rsid w:val="3D590FB8"/>
    <w:rsid w:val="3DA31CE3"/>
    <w:rsid w:val="3E47704B"/>
    <w:rsid w:val="401A140A"/>
    <w:rsid w:val="41957D62"/>
    <w:rsid w:val="438356FB"/>
    <w:rsid w:val="443059ED"/>
    <w:rsid w:val="46E22F48"/>
    <w:rsid w:val="473765E8"/>
    <w:rsid w:val="48505D0A"/>
    <w:rsid w:val="4C3949D3"/>
    <w:rsid w:val="51894ABC"/>
    <w:rsid w:val="53DD1411"/>
    <w:rsid w:val="541955CB"/>
    <w:rsid w:val="57283EF1"/>
    <w:rsid w:val="583D3932"/>
    <w:rsid w:val="59401720"/>
    <w:rsid w:val="5A483ADC"/>
    <w:rsid w:val="5B5C7C9D"/>
    <w:rsid w:val="671E2C83"/>
    <w:rsid w:val="6A2C2F4C"/>
    <w:rsid w:val="6B0430C0"/>
    <w:rsid w:val="6B4D5F02"/>
    <w:rsid w:val="6CEB4F1F"/>
    <w:rsid w:val="6D3B7EA0"/>
    <w:rsid w:val="6EBE09D0"/>
    <w:rsid w:val="706D102C"/>
    <w:rsid w:val="70E20239"/>
    <w:rsid w:val="72016A02"/>
    <w:rsid w:val="724F2717"/>
    <w:rsid w:val="730B2A22"/>
    <w:rsid w:val="739D479D"/>
    <w:rsid w:val="7BFFF4BB"/>
    <w:rsid w:val="7C530324"/>
    <w:rsid w:val="7D2D1788"/>
    <w:rsid w:val="7E545B48"/>
    <w:rsid w:val="7E5C4E0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nhideWhenUsed="0" w:uiPriority="0"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nhideWhenUsed="0"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name="Body Text"/>
    <w:lsdException w:qFormat="1"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qFormat="1"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iPriority="5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4"/>
    <w:basedOn w:val="1"/>
    <w:next w:val="1"/>
    <w:qFormat/>
    <w:uiPriority w:val="0"/>
    <w:pPr>
      <w:keepNext/>
      <w:keepLines/>
      <w:spacing w:before="280" w:after="290" w:line="376" w:lineRule="auto"/>
      <w:outlineLvl w:val="3"/>
    </w:pPr>
    <w:rPr>
      <w:rFonts w:ascii="Arial" w:hAnsi="Arial" w:eastAsia="黑体"/>
      <w:b/>
      <w:bCs/>
      <w:sz w:val="28"/>
      <w:szCs w:val="28"/>
    </w:rPr>
  </w:style>
  <w:style w:type="character" w:default="1" w:styleId="12">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3">
    <w:name w:val="Document Map"/>
    <w:basedOn w:val="1"/>
    <w:link w:val="17"/>
    <w:semiHidden/>
    <w:unhideWhenUsed/>
    <w:qFormat/>
    <w:uiPriority w:val="99"/>
    <w:rPr>
      <w:rFonts w:ascii="宋体" w:eastAsia="宋体"/>
      <w:sz w:val="18"/>
      <w:szCs w:val="18"/>
    </w:rPr>
  </w:style>
  <w:style w:type="paragraph" w:styleId="4">
    <w:name w:val="annotation text"/>
    <w:basedOn w:val="1"/>
    <w:qFormat/>
    <w:uiPriority w:val="99"/>
    <w:pPr>
      <w:jc w:val="left"/>
    </w:pPr>
  </w:style>
  <w:style w:type="paragraph" w:styleId="5">
    <w:name w:val="Body Text"/>
    <w:basedOn w:val="1"/>
    <w:semiHidden/>
    <w:qFormat/>
    <w:uiPriority w:val="0"/>
    <w:rPr>
      <w:rFonts w:ascii="Arial" w:hAnsi="Arial" w:eastAsia="Arial" w:cs="Arial"/>
      <w:szCs w:val="21"/>
      <w:lang w:eastAsia="en-US"/>
    </w:rPr>
  </w:style>
  <w:style w:type="paragraph" w:styleId="6">
    <w:name w:val="Body Text Indent"/>
    <w:basedOn w:val="1"/>
    <w:semiHidden/>
    <w:unhideWhenUsed/>
    <w:qFormat/>
    <w:uiPriority w:val="99"/>
    <w:pPr>
      <w:spacing w:after="120"/>
      <w:ind w:left="420" w:leftChars="200"/>
    </w:pPr>
  </w:style>
  <w:style w:type="paragraph" w:styleId="7">
    <w:name w:val="Balloon Text"/>
    <w:basedOn w:val="1"/>
    <w:link w:val="14"/>
    <w:semiHidden/>
    <w:unhideWhenUsed/>
    <w:qFormat/>
    <w:uiPriority w:val="99"/>
    <w:rPr>
      <w:sz w:val="18"/>
      <w:szCs w:val="18"/>
    </w:rPr>
  </w:style>
  <w:style w:type="paragraph" w:styleId="8">
    <w:name w:val="footer"/>
    <w:basedOn w:val="1"/>
    <w:link w:val="16"/>
    <w:unhideWhenUsed/>
    <w:qFormat/>
    <w:uiPriority w:val="99"/>
    <w:pPr>
      <w:tabs>
        <w:tab w:val="center" w:pos="4153"/>
        <w:tab w:val="right" w:pos="8306"/>
      </w:tabs>
      <w:snapToGrid w:val="0"/>
      <w:jc w:val="left"/>
    </w:pPr>
    <w:rPr>
      <w:sz w:val="18"/>
      <w:szCs w:val="18"/>
    </w:rPr>
  </w:style>
  <w:style w:type="paragraph" w:styleId="9">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paragraph" w:styleId="10">
    <w:name w:val="Body Text First Indent 2"/>
    <w:basedOn w:val="6"/>
    <w:unhideWhenUsed/>
    <w:qFormat/>
    <w:uiPriority w:val="0"/>
    <w:pPr>
      <w:ind w:firstLine="420" w:firstLineChars="200"/>
    </w:pPr>
  </w:style>
  <w:style w:type="character" w:styleId="13">
    <w:name w:val="Strong"/>
    <w:basedOn w:val="12"/>
    <w:qFormat/>
    <w:uiPriority w:val="22"/>
    <w:rPr>
      <w:b/>
    </w:rPr>
  </w:style>
  <w:style w:type="character" w:customStyle="1" w:styleId="14">
    <w:name w:val="批注框文本 Char"/>
    <w:basedOn w:val="12"/>
    <w:link w:val="7"/>
    <w:semiHidden/>
    <w:qFormat/>
    <w:uiPriority w:val="99"/>
    <w:rPr>
      <w:sz w:val="18"/>
      <w:szCs w:val="18"/>
    </w:rPr>
  </w:style>
  <w:style w:type="character" w:customStyle="1" w:styleId="15">
    <w:name w:val="页眉 Char"/>
    <w:basedOn w:val="12"/>
    <w:link w:val="9"/>
    <w:qFormat/>
    <w:uiPriority w:val="99"/>
    <w:rPr>
      <w:sz w:val="18"/>
      <w:szCs w:val="18"/>
    </w:rPr>
  </w:style>
  <w:style w:type="character" w:customStyle="1" w:styleId="16">
    <w:name w:val="页脚 Char"/>
    <w:basedOn w:val="12"/>
    <w:link w:val="8"/>
    <w:qFormat/>
    <w:uiPriority w:val="99"/>
    <w:rPr>
      <w:sz w:val="18"/>
      <w:szCs w:val="18"/>
    </w:rPr>
  </w:style>
  <w:style w:type="character" w:customStyle="1" w:styleId="17">
    <w:name w:val="文档结构图 Char"/>
    <w:basedOn w:val="12"/>
    <w:link w:val="3"/>
    <w:semiHidden/>
    <w:qFormat/>
    <w:uiPriority w:val="99"/>
    <w:rPr>
      <w:rFonts w:ascii="宋体" w:eastAsia="宋体"/>
      <w:sz w:val="18"/>
      <w:szCs w:val="18"/>
    </w:rPr>
  </w:style>
  <w:style w:type="character" w:customStyle="1" w:styleId="18">
    <w:name w:val="font41"/>
    <w:basedOn w:val="12"/>
    <w:qFormat/>
    <w:uiPriority w:val="0"/>
    <w:rPr>
      <w:rFonts w:hint="eastAsia" w:ascii="宋体" w:hAnsi="宋体" w:eastAsia="宋体" w:cs="宋体"/>
      <w:color w:val="000000"/>
      <w:sz w:val="20"/>
      <w:szCs w:val="20"/>
      <w:u w:val="none"/>
    </w:rPr>
  </w:style>
  <w:style w:type="character" w:customStyle="1" w:styleId="19">
    <w:name w:val="font11"/>
    <w:basedOn w:val="12"/>
    <w:qFormat/>
    <w:uiPriority w:val="0"/>
    <w:rPr>
      <w:rFonts w:hint="default" w:ascii="Times New Roman" w:hAnsi="Times New Roman" w:cs="Times New Roman"/>
      <w:color w:val="000000"/>
      <w:sz w:val="20"/>
      <w:szCs w:val="20"/>
      <w:u w:val="none"/>
    </w:rPr>
  </w:style>
  <w:style w:type="character" w:customStyle="1" w:styleId="20">
    <w:name w:val="font31"/>
    <w:basedOn w:val="12"/>
    <w:qFormat/>
    <w:uiPriority w:val="0"/>
    <w:rPr>
      <w:rFonts w:hint="eastAsia" w:ascii="宋体" w:hAnsi="宋体" w:eastAsia="宋体" w:cs="宋体"/>
      <w:color w:val="000000"/>
      <w:sz w:val="20"/>
      <w:szCs w:val="20"/>
      <w:u w:val="none"/>
    </w:rPr>
  </w:style>
  <w:style w:type="character" w:customStyle="1" w:styleId="21">
    <w:name w:val="font61"/>
    <w:basedOn w:val="12"/>
    <w:qFormat/>
    <w:uiPriority w:val="0"/>
    <w:rPr>
      <w:rFonts w:hint="eastAsia" w:ascii="宋体" w:hAnsi="宋体" w:eastAsia="宋体" w:cs="宋体"/>
      <w:color w:val="000000"/>
      <w:sz w:val="20"/>
      <w:szCs w:val="20"/>
      <w:u w:val="none"/>
    </w:rPr>
  </w:style>
  <w:style w:type="paragraph" w:customStyle="1" w:styleId="22">
    <w:name w:val="Table Text"/>
    <w:basedOn w:val="1"/>
    <w:semiHidden/>
    <w:qFormat/>
    <w:uiPriority w:val="0"/>
    <w:rPr>
      <w:rFonts w:ascii="宋体" w:hAnsi="宋体" w:eastAsia="宋体" w:cs="宋体"/>
      <w:sz w:val="24"/>
      <w:szCs w:val="24"/>
      <w:lang w:eastAsia="en-US"/>
    </w:rPr>
  </w:style>
  <w:style w:type="table" w:customStyle="1" w:styleId="23">
    <w:name w:val="Table Normal"/>
    <w:semiHidden/>
    <w:unhideWhenUsed/>
    <w:qFormat/>
    <w:uiPriority w:val="0"/>
    <w:tblPr>
      <w:tblCellMar>
        <w:top w:w="0" w:type="dxa"/>
        <w:left w:w="0" w:type="dxa"/>
        <w:bottom w:w="0" w:type="dxa"/>
        <w:right w:w="0" w:type="dxa"/>
      </w:tblCellMar>
    </w:tblPr>
  </w:style>
  <w:style w:type="paragraph" w:styleId="24">
    <w:name w:val="List Paragraph"/>
    <w:basedOn w:val="1"/>
    <w:qFormat/>
    <w:uiPriority w:val="34"/>
    <w:pPr>
      <w:ind w:firstLine="420" w:firstLineChars="200"/>
    </w:pPr>
    <w:rPr>
      <w:rFonts w:ascii="Calibri" w:hAnsi="Calibri"/>
    </w:rPr>
  </w:style>
  <w:style w:type="paragraph" w:customStyle="1" w:styleId="25">
    <w:name w:val="Default"/>
    <w:qFormat/>
    <w:uiPriority w:val="0"/>
    <w:pPr>
      <w:widowControl w:val="0"/>
      <w:autoSpaceDE w:val="0"/>
      <w:autoSpaceDN w:val="0"/>
      <w:adjustRightInd w:val="0"/>
    </w:pPr>
    <w:rPr>
      <w:rFonts w:ascii="Arial" w:hAnsi="Arial" w:eastAsia="宋体" w:cs="Arial"/>
      <w:color w:val="000000"/>
      <w:sz w:val="24"/>
      <w:szCs w:val="24"/>
      <w:lang w:val="en-US" w:eastAsia="zh-CN" w:bidi="ar-SA"/>
    </w:rPr>
  </w:style>
  <w:style w:type="character" w:customStyle="1" w:styleId="26">
    <w:name w:val="font21"/>
    <w:basedOn w:val="12"/>
    <w:qFormat/>
    <w:uiPriority w:val="0"/>
    <w:rPr>
      <w:rFonts w:hint="eastAsia" w:ascii="微软雅黑" w:hAnsi="微软雅黑" w:eastAsia="微软雅黑" w:cs="微软雅黑"/>
      <w:b/>
      <w:bCs/>
      <w:color w:val="000000"/>
      <w:sz w:val="20"/>
      <w:szCs w:val="20"/>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8</Pages>
  <Words>1050</Words>
  <Characters>1152</Characters>
  <Lines>80</Lines>
  <Paragraphs>22</Paragraphs>
  <TotalTime>219</TotalTime>
  <ScaleCrop>false</ScaleCrop>
  <LinksUpToDate>false</LinksUpToDate>
  <CharactersWithSpaces>1174</CharactersWithSpaces>
  <Application>WPS Office_12.1.0.26375_F1E327BC-269C-435d-A152-05C5408002CA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2019-01-24T17:19:00Z</dcterms:created>
  <dc:creator>王丽雯</dc:creator>
  <cp:lastModifiedBy>yyb</cp:lastModifiedBy>
  <dcterms:modified xsi:type="dcterms:W3CDTF">2026-06-02T07:16:29Z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2052-12.1.0.26375</vt:lpwstr>
  </property>
  <property fmtid="{D5CDD505-2E9C-101B-9397-08002B2CF9AE}" pid="3" name="ICV">
    <vt:lpwstr>A8A4F4354F0E41F28B4B08B9F173D19D_13</vt:lpwstr>
  </property>
  <property fmtid="{D5CDD505-2E9C-101B-9397-08002B2CF9AE}" pid="4" name="KSOTemplateDocerSaveRecord">
    <vt:lpwstr>eyJoZGlkIjoiMjZlNTI2YmQxM2QwOGJjMDdmNGQ3ZWIwYzJmMzM2NWEiLCJ1c2VySWQiOiIyODE0OTg5NTMifQ==</vt:lpwstr>
  </property>
</Properties>
</file>