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D7F698">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eastAsia="宋体" w:cs="宋体"/>
          <w:b/>
          <w:bCs/>
          <w:sz w:val="32"/>
          <w:szCs w:val="32"/>
        </w:rPr>
      </w:pPr>
      <w:r>
        <w:rPr>
          <w:rFonts w:hint="eastAsia" w:ascii="宋体" w:hAnsi="宋体" w:eastAsia="宋体" w:cs="宋体"/>
          <w:b/>
          <w:bCs/>
          <w:sz w:val="32"/>
          <w:szCs w:val="32"/>
        </w:rPr>
        <w:t>2026年度决策咨询研究教育政策专项课题指南</w:t>
      </w:r>
    </w:p>
    <w:p w14:paraId="7304F0B7">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w:t>
      </w:r>
    </w:p>
    <w:p w14:paraId="1B385199">
      <w:pPr>
        <w:keepNext w:val="0"/>
        <w:keepLines w:val="0"/>
        <w:pageBreakBefore w:val="0"/>
        <w:widowControl w:val="0"/>
        <w:kinsoku/>
        <w:wordWrap/>
        <w:overflowPunct/>
        <w:topLinePunct w:val="0"/>
        <w:autoSpaceDE/>
        <w:autoSpaceDN/>
        <w:bidi w:val="0"/>
        <w:adjustRightInd/>
        <w:snapToGrid/>
        <w:spacing w:line="520" w:lineRule="exact"/>
        <w:ind w:firstLine="482" w:firstLineChars="200"/>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一、“十五五”时期上海高等教育布局结构和优化机制研究</w:t>
      </w:r>
    </w:p>
    <w:p w14:paraId="49B648CA">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研究重点：为有效应对“十五五”时期高等教育学龄人口增长，通过开展国际比较研究，分析人口增长背景下高等教育布</w:t>
      </w:r>
      <w:bookmarkStart w:id="0" w:name="_GoBack"/>
      <w:bookmarkEnd w:id="0"/>
      <w:r>
        <w:rPr>
          <w:rFonts w:hint="eastAsia" w:asciiTheme="minorEastAsia" w:hAnsiTheme="minorEastAsia" w:eastAsiaTheme="minorEastAsia" w:cstheme="minorEastAsia"/>
          <w:sz w:val="24"/>
          <w:szCs w:val="24"/>
        </w:rPr>
        <w:t>局结构优化调整的国际经验；系统梳理分析国家和上海市优化高等教育布局的现状基础和经验成效，研判形势任务和问题挑战；立足国家战略需求、上海区域经济发展和产业升级需要，提出“十五五”时期高等教育资源前瞻布局和结构优化的总体思路、推进举措和创新机制。</w:t>
      </w:r>
    </w:p>
    <w:p w14:paraId="04F97F6E">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heme="minorEastAsia" w:hAnsiTheme="minorEastAsia" w:eastAsiaTheme="minorEastAsia" w:cstheme="minorEastAsia"/>
          <w:sz w:val="24"/>
          <w:szCs w:val="24"/>
        </w:rPr>
      </w:pPr>
    </w:p>
    <w:p w14:paraId="02B8558E">
      <w:pPr>
        <w:keepNext w:val="0"/>
        <w:keepLines w:val="0"/>
        <w:pageBreakBefore w:val="0"/>
        <w:widowControl w:val="0"/>
        <w:kinsoku/>
        <w:wordWrap/>
        <w:overflowPunct/>
        <w:topLinePunct w:val="0"/>
        <w:autoSpaceDE/>
        <w:autoSpaceDN/>
        <w:bidi w:val="0"/>
        <w:adjustRightInd/>
        <w:snapToGrid/>
        <w:spacing w:line="520" w:lineRule="exact"/>
        <w:ind w:firstLine="482" w:firstLineChars="200"/>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二、人工智能时代上海高校人才培养的系统性改革研究</w:t>
      </w:r>
    </w:p>
    <w:p w14:paraId="2414EF1E">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研究重点：面对人工智能技术对高校人才培养带来的巨大冲击，通过国际比较、实地调研等方式，在充分研究高校现行人才培养体系问题的基础上，提出人工智能时代高校人才培养系统性改革的创新路径。</w:t>
      </w:r>
    </w:p>
    <w:p w14:paraId="74696304">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Theme="minorEastAsia" w:hAnsiTheme="minorEastAsia" w:eastAsiaTheme="minorEastAsia" w:cstheme="minorEastAsia"/>
          <w:sz w:val="24"/>
          <w:szCs w:val="24"/>
        </w:rPr>
      </w:pPr>
    </w:p>
    <w:p w14:paraId="2BACAF53">
      <w:pPr>
        <w:keepNext w:val="0"/>
        <w:keepLines w:val="0"/>
        <w:pageBreakBefore w:val="0"/>
        <w:widowControl w:val="0"/>
        <w:kinsoku/>
        <w:wordWrap/>
        <w:overflowPunct/>
        <w:topLinePunct w:val="0"/>
        <w:autoSpaceDE/>
        <w:autoSpaceDN/>
        <w:bidi w:val="0"/>
        <w:adjustRightInd/>
        <w:snapToGrid/>
        <w:spacing w:line="520" w:lineRule="exact"/>
        <w:ind w:firstLine="482" w:firstLineChars="200"/>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三、“重服务、强贡献”导向下的上海高校分类发展成效评估研究</w:t>
      </w:r>
    </w:p>
    <w:p w14:paraId="74618F8F">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研究重点：构建与上海高等教育“重服务、强贡献”导向相适应的高校分类评价指标体系，突出不同类型高校在人才培养、社会服务等方面的差异化评价，为推进高校分类发展提供政策依据。</w:t>
      </w:r>
    </w:p>
    <w:p w14:paraId="0BAD52A7">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Theme="minorEastAsia" w:hAnsiTheme="minorEastAsia" w:eastAsiaTheme="minorEastAsia" w:cstheme="minorEastAsia"/>
          <w:sz w:val="24"/>
          <w:szCs w:val="24"/>
        </w:rPr>
      </w:pPr>
    </w:p>
    <w:p w14:paraId="2207267E">
      <w:pPr>
        <w:keepNext w:val="0"/>
        <w:keepLines w:val="0"/>
        <w:pageBreakBefore w:val="0"/>
        <w:widowControl w:val="0"/>
        <w:kinsoku/>
        <w:wordWrap/>
        <w:overflowPunct/>
        <w:topLinePunct w:val="0"/>
        <w:autoSpaceDE/>
        <w:autoSpaceDN/>
        <w:bidi w:val="0"/>
        <w:adjustRightInd/>
        <w:snapToGrid/>
        <w:spacing w:line="520" w:lineRule="exact"/>
        <w:ind w:firstLine="482" w:firstLineChars="200"/>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四、上海重点领域人才供需对接机制与人才培养引导清单研究</w:t>
      </w:r>
    </w:p>
    <w:p w14:paraId="53EA4346">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研究重点：围绕行业产业重点发展领域，系统研究高等教育人才供需对接的协同机制与实施路径，构建政府、企业协同的需求采集与预测体系，研究“急需人才培养引导清单”研制路径，探索清单在高校的对接应用机制，实现更高水平的人才供需动态平衡。</w:t>
      </w:r>
    </w:p>
    <w:p w14:paraId="5343B9AB">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Theme="minorEastAsia" w:hAnsiTheme="minorEastAsia" w:eastAsiaTheme="minorEastAsia" w:cstheme="minorEastAsia"/>
          <w:sz w:val="24"/>
          <w:szCs w:val="24"/>
        </w:rPr>
      </w:pPr>
    </w:p>
    <w:p w14:paraId="11F00F2E">
      <w:pPr>
        <w:keepNext w:val="0"/>
        <w:keepLines w:val="0"/>
        <w:pageBreakBefore w:val="0"/>
        <w:widowControl w:val="0"/>
        <w:kinsoku/>
        <w:wordWrap/>
        <w:overflowPunct/>
        <w:topLinePunct w:val="0"/>
        <w:autoSpaceDE/>
        <w:autoSpaceDN/>
        <w:bidi w:val="0"/>
        <w:adjustRightInd/>
        <w:snapToGrid/>
        <w:spacing w:line="520" w:lineRule="exact"/>
        <w:ind w:firstLine="482" w:firstLineChars="200"/>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五、面向未来产业的上海高校学科优化布局研究</w:t>
      </w:r>
    </w:p>
    <w:p w14:paraId="754FCA51">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研究重点：立足国家和上海规划部署的未来产业发展方向，聚焦关键科技与产业前沿领域，围绕突破传统学科界限与组织模式，前瞻性应对科技、经济及社会的快速变革需求，重点探索如何健全高校学科布局与未来产业需求的适配机制，提出优化上海高校学科布局的发展思路、重点领域及具体举措建议。</w:t>
      </w:r>
    </w:p>
    <w:p w14:paraId="57BBD193">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Theme="minorEastAsia" w:hAnsiTheme="minorEastAsia" w:eastAsiaTheme="minorEastAsia" w:cstheme="minorEastAsia"/>
          <w:sz w:val="24"/>
          <w:szCs w:val="24"/>
        </w:rPr>
      </w:pPr>
    </w:p>
    <w:p w14:paraId="40F0452E">
      <w:pPr>
        <w:keepNext w:val="0"/>
        <w:keepLines w:val="0"/>
        <w:pageBreakBefore w:val="0"/>
        <w:widowControl w:val="0"/>
        <w:kinsoku/>
        <w:wordWrap/>
        <w:overflowPunct/>
        <w:topLinePunct w:val="0"/>
        <w:autoSpaceDE/>
        <w:autoSpaceDN/>
        <w:bidi w:val="0"/>
        <w:adjustRightInd/>
        <w:snapToGrid/>
        <w:spacing w:line="520" w:lineRule="exact"/>
        <w:ind w:firstLine="482" w:firstLineChars="200"/>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六、国家交叉学科中心协同育人机制研究</w:t>
      </w:r>
    </w:p>
    <w:p w14:paraId="46E650FB">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研究重点：聚焦多主体协同参与下的人才培养组织机制与资源配置机制。围绕院系、学科、校内外平台之间的协同关系，聚焦导师联合指导、课程体系共建、科研项目牵引、实践环节衔接和培养质量评价等关键环节，探索形成覆盖培养方案制定、培养过程实施、资源开放共享和成果考核认定的协同育人机制，推动建立分工合理、衔接有序、运行稳定的交叉学科育人体系。</w:t>
      </w:r>
    </w:p>
    <w:p w14:paraId="377B822A">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Theme="minorEastAsia" w:hAnsiTheme="minorEastAsia" w:eastAsiaTheme="minorEastAsia" w:cstheme="minorEastAsia"/>
          <w:sz w:val="24"/>
          <w:szCs w:val="24"/>
        </w:rPr>
      </w:pPr>
    </w:p>
    <w:p w14:paraId="47C6DF50">
      <w:pPr>
        <w:keepNext w:val="0"/>
        <w:keepLines w:val="0"/>
        <w:pageBreakBefore w:val="0"/>
        <w:widowControl w:val="0"/>
        <w:kinsoku/>
        <w:wordWrap/>
        <w:overflowPunct/>
        <w:topLinePunct w:val="0"/>
        <w:autoSpaceDE/>
        <w:autoSpaceDN/>
        <w:bidi w:val="0"/>
        <w:adjustRightInd/>
        <w:snapToGrid/>
        <w:spacing w:line="520" w:lineRule="exact"/>
        <w:ind w:firstLine="482" w:firstLineChars="200"/>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七、人工智能驱动教育教学模式创新的政策支持体系研究</w:t>
      </w:r>
    </w:p>
    <w:p w14:paraId="42E70516">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研究重点：构建支持基础教育阶段人工智能驱动教育教学创新的政策体系。研制大规模因材施教的教学新范式与推广路径；设计教师全员培训与角色转型支持方案；建立基于实证的教学效果评估与动态调整机制；规划优质人工智能教育资源共建共享与普惠性供给机制。</w:t>
      </w:r>
    </w:p>
    <w:p w14:paraId="0A12397C">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Theme="minorEastAsia" w:hAnsiTheme="minorEastAsia" w:eastAsiaTheme="minorEastAsia" w:cstheme="minorEastAsia"/>
          <w:sz w:val="24"/>
          <w:szCs w:val="24"/>
        </w:rPr>
      </w:pPr>
    </w:p>
    <w:p w14:paraId="6DF31F0D">
      <w:pPr>
        <w:keepNext w:val="0"/>
        <w:keepLines w:val="0"/>
        <w:pageBreakBefore w:val="0"/>
        <w:widowControl w:val="0"/>
        <w:kinsoku/>
        <w:wordWrap/>
        <w:overflowPunct/>
        <w:topLinePunct w:val="0"/>
        <w:autoSpaceDE/>
        <w:autoSpaceDN/>
        <w:bidi w:val="0"/>
        <w:adjustRightInd/>
        <w:snapToGrid/>
        <w:spacing w:line="520" w:lineRule="exact"/>
        <w:ind w:firstLine="482" w:firstLineChars="200"/>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八、面向人人的学校体育综合育人模式研究</w:t>
      </w:r>
    </w:p>
    <w:p w14:paraId="71216809">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研究重点：聚焦充分发挥体育综合育人作用，依托每天综合体育活动2小时，研究完善学生体育活动组织模式，并有机融入德育、美育及科创等元素设计，实现人人都参与、人人有项目，打造体育活动品牌，建设校园体育文化。</w:t>
      </w:r>
    </w:p>
    <w:p w14:paraId="6FD707C3">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Theme="minorEastAsia" w:hAnsiTheme="minorEastAsia" w:eastAsiaTheme="minorEastAsia" w:cstheme="minorEastAsia"/>
          <w:sz w:val="24"/>
          <w:szCs w:val="24"/>
        </w:rPr>
      </w:pPr>
    </w:p>
    <w:p w14:paraId="6C2C84EB">
      <w:pPr>
        <w:keepNext w:val="0"/>
        <w:keepLines w:val="0"/>
        <w:pageBreakBefore w:val="0"/>
        <w:widowControl w:val="0"/>
        <w:kinsoku/>
        <w:wordWrap/>
        <w:overflowPunct/>
        <w:topLinePunct w:val="0"/>
        <w:autoSpaceDE/>
        <w:autoSpaceDN/>
        <w:bidi w:val="0"/>
        <w:adjustRightInd/>
        <w:snapToGrid/>
        <w:spacing w:line="520" w:lineRule="exact"/>
        <w:ind w:firstLine="482" w:firstLineChars="200"/>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九、上海基础教育规范办学落实机制研究</w:t>
      </w:r>
    </w:p>
    <w:p w14:paraId="5336698A">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研究重点：围绕如何推动基础教育守牢办学规范、促进学生全面发展，开展现状调研、问题分析，研究长效落实机制。</w:t>
      </w:r>
    </w:p>
    <w:p w14:paraId="055D4B57">
      <w:pPr>
        <w:keepNext w:val="0"/>
        <w:keepLines w:val="0"/>
        <w:pageBreakBefore w:val="0"/>
        <w:widowControl w:val="0"/>
        <w:kinsoku/>
        <w:wordWrap/>
        <w:overflowPunct/>
        <w:topLinePunct w:val="0"/>
        <w:autoSpaceDE/>
        <w:autoSpaceDN/>
        <w:bidi w:val="0"/>
        <w:adjustRightInd/>
        <w:snapToGrid/>
        <w:spacing w:line="520" w:lineRule="exact"/>
        <w:ind w:firstLine="482" w:firstLineChars="200"/>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十、上海大中小学思政课一体化建设质量监测体系研究</w:t>
      </w:r>
    </w:p>
    <w:p w14:paraId="476BA2BA">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研究重点：研究构建覆盖课程、教学、师资的大中小学思政课一体化质量监测体系，设计市级评价机制与反馈路径，提出优化管理架构与政策实施建议。</w:t>
      </w:r>
    </w:p>
    <w:p w14:paraId="4E28660F">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Theme="minorEastAsia" w:hAnsiTheme="minorEastAsia" w:eastAsiaTheme="minorEastAsia" w:cstheme="minorEastAsia"/>
          <w:sz w:val="24"/>
          <w:szCs w:val="24"/>
        </w:rPr>
      </w:pPr>
    </w:p>
    <w:p w14:paraId="37892478">
      <w:pPr>
        <w:keepNext w:val="0"/>
        <w:keepLines w:val="0"/>
        <w:pageBreakBefore w:val="0"/>
        <w:widowControl w:val="0"/>
        <w:kinsoku/>
        <w:wordWrap/>
        <w:overflowPunct/>
        <w:topLinePunct w:val="0"/>
        <w:autoSpaceDE/>
        <w:autoSpaceDN/>
        <w:bidi w:val="0"/>
        <w:adjustRightInd/>
        <w:snapToGrid/>
        <w:spacing w:line="520" w:lineRule="exact"/>
        <w:ind w:firstLine="482" w:firstLineChars="200"/>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十一、专门学校“教育矫治-社会融合”协同治理模式构建研究</w:t>
      </w:r>
    </w:p>
    <w:p w14:paraId="044B6C7E">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研究重点：聚焦青少年严重不良行为分级评估及其工具开发、专门教育“矫治性+发展性”课程体系重构、家校社协同的转介衔接与跟踪帮扶机制优化、专门教育与职普教育的融通路径设计等研究维度，探索构筑专门教育全链条协同育人的治理模式。</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6FF18C3"/>
    <w:rsid w:val="189E12ED"/>
    <w:rsid w:val="1D751387"/>
    <w:rsid w:val="3EA243FC"/>
    <w:rsid w:val="433D3FCA"/>
    <w:rsid w:val="48D25DE7"/>
    <w:rsid w:val="55DF0FA9"/>
    <w:rsid w:val="F6FF18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1776</Words>
  <Characters>1810</Characters>
  <Lines>0</Lines>
  <Paragraphs>0</Paragraphs>
  <TotalTime>12</TotalTime>
  <ScaleCrop>false</ScaleCrop>
  <LinksUpToDate>false</LinksUpToDate>
  <CharactersWithSpaces>1810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2026-02-23T17:14:00Z</dcterms:created>
  <dc:creator>yc</dc:creator>
  <cp:lastModifiedBy>yc</cp:lastModifiedBy>
  <dcterms:modified xsi:type="dcterms:W3CDTF">2026-06-15T08:46:25Z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52B8C44B97325ECE621A9C6990EB6267_41</vt:lpwstr>
  </property>
  <property fmtid="{D5CDD505-2E9C-101B-9397-08002B2CF9AE}" pid="4" name="KSOTemplateDocerSaveRecord">
    <vt:lpwstr>eyJoZGlkIjoiMjEyM2Q4NDM3NjdhOWExMmM3MGVmYWNhMDY5YThkOGIiLCJ1c2VySWQiOiIxMzQzOTE4OTI3In0=</vt:lpwstr>
  </property>
</Properties>
</file>