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4B2A2">
      <w:pPr>
        <w:bidi w:val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2026年度决策咨询研究国际航运中心专项课题指南</w:t>
      </w:r>
    </w:p>
    <w:p w14:paraId="15C01A18">
      <w:pPr>
        <w:bidi w:val="0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F8B7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</w:rPr>
        <w:t>一、面向绿色化转型的上海高端航运服务生态构建与协同机制研究</w:t>
      </w:r>
    </w:p>
    <w:p w14:paraId="3E9AD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研究旨在以服务航运绿色化转型为导向，诊断上海高端航运服务生态的现有基础与适应能力，系统识别其在产品创新、服务模式、制度协同等方面的关键瓶颈；深入研判全球航运减排趋势与转型路径，厘清其对高端航运服务创新的核心需求；聚焦绿色航运价值链，明确上海高端航运服务业需着力培育的关键环节与新兴领域，探索构建具有国际竞争力的高端航运服务生态与协同运作机制，有效支撑上海航运绿色化转型。</w:t>
      </w:r>
    </w:p>
    <w:p w14:paraId="07706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二、上海海事规则创新与全球海事治理参与路径研究</w:t>
      </w:r>
    </w:p>
    <w:p w14:paraId="74ADB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2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研究旨在系统梳理上海在海事领域的制度基础与创新条件，精准识别其制度体系与国际高标准之间的差距，前瞻性地提出适应全球航运趋势的海事规则创新方向与关键突破口，有效破解与国际通行规则衔接的制度性与机制性障碍，构建具有国际竞争力的海事制度体系；深入探索上海参与全球海事治理的系统路径，稳步提升其在全球海事治理中的规则制定能力、话语权与综合影响力。</w:t>
      </w:r>
    </w:p>
    <w:bookmarkEnd w:id="0"/>
    <w:p w14:paraId="0F8D34EE">
      <w:pPr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62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2026-03-19T01:43:42Z</dcterms:created>
  <dc:creator>Lenovo</dc:creator>
  <cp:lastModifiedBy>楼彦伶</cp:lastModifiedBy>
  <dcterms:modified xsi:type="dcterms:W3CDTF">2026-03-19T02:20:52Z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eyJoZGlkIjoiNmQ4M2JjYWU3ZmM5OTA0MjAzZTllMTNhNzdmYjliNTYiLCJ1c2VySWQiOiIxNzAyMjc0MDg4In0=</vt:lpwstr>
  </property>
  <property fmtid="{D5CDD505-2E9C-101B-9397-08002B2CF9AE}" pid="4" name="ICV">
    <vt:lpwstr>AFBDA398388E460FA1C7B22B1788765E_12</vt:lpwstr>
  </property>
</Properties>
</file>